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chấm thang 1-5 trên 6 trục — độ mạnh cô lập, chi phí vận hành theo số tenant, khả năng truy vấn xuyên tenant, độ phù hợp phạm vi SMB hiện tại, vị thế tuân thủ (PDPL + ISO27001) và chi phí chuyển đổi từ hiện trạng — tổng tối đa 30. Rubric xây dựng riêng cho ngữ cảnh trung tâm dạy thêm SMB, tham khảo phương pháp luận Pool/Bridge/Silo của AWS Well-Architected SaaS Lens [26, tr.21] và pattern comparison của Pothon [27], với trọng số ưu tiên chi phí (ràng buộc Free Tier) và độ đơn giản vận hành (mô hình solo-dev).</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Pattern 4 (chọn — tổng 26/30):</w:t>
      </w:r>
      <w:r>
        <w:rPr>
          <w:rFonts w:ascii="Times New Roman" w:hAnsi="Times New Roman" w:eastAsia="Times New Roman"/>
          <w:b w:val="0"/>
          <w:i w:val="0"/>
          <w:sz w:val="26"/>
        </w:rPr>
        <w:t xml:space="preserve"> P4 đạt điểm tối đa ở ba trục quyết định với phạm vi hiện tại — chi phí vận hành O(1) (5đ: 1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+ 1 chuỗi Flyway migration cho mọi tenant), độ phù hợp phạm vi SMB (5đ: ≤$15/tháng cho ≤10 tenant đầu) và chi phí chuyển đổi thấp (5đ: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chỉ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Độ mạnh cô lập chỉ đạt 3đ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 NULL force-fail, chi tiết §2.2.4) chứ không phải vật lý như Per-DB — vai trò siêu người dùng vẫn BYPASS được, nên cần thêm 4 lớp phòng thủ chiều sâu (§2.2.4). Hai trục còn lại đạt 4đ: khả năng truy vấn xuyên tenant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BYPASSRLS phục vụ report toàn nền tảng) và vị thế tuân thủ (cô lập logic mạnh + audit trail PDPL Art 11) — chưa đạt 5đ do là cô lập logic, không vật lý.</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hiển thị dòng tóm tắt "Hiện có 30 học viên · 1 khóa học" cùng sáu thẻ chỉ số (Học viên, Khóa học, Lớp học, Điểm danh hôm nay, Doanh thu tuần, Tỷ lệ giữ chân). Hiện tại, hai thẻ Học viên và Khóa học đã hiển thị số liệu thực (30 và 1),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pPr>
        <w:spacing w:line="288" w:lineRule="auto"/>
        <w:ind w:firstLine="567"/>
        <w:jc w:val="both"/>
      </w:pPr>
      <w:r>
        <w:rPr>
          <w:rFonts w:ascii="Times New Roman" w:hAnsi="Times New Roman" w:eastAsia="Times New Roman"/>
          <w:b w:val="0"/>
          <w:i/>
          <w:sz w:val="26"/>
        </w:rPr>
        <w:t>Nguồn: tác giả tự xây dựng</w:t>
      </w:r>
    </w:p>
    <w:p>
      <w:pPr>
        <w:pStyle w:val="Heading3"/>
      </w:pPr>
      <w:r>
        <w:rPr>
          <w:rFonts w:ascii="Times New Roman" w:hAnsi="Times New Roman" w:eastAsia="Times New Roman"/>
          <w:b/>
          <w:color w:val="000000"/>
          <w:sz w:val="28"/>
        </w:rPr>
        <w:t>4.2.4 Phản hồi minh hoạ từ người dùng</w:t>
      </w:r>
    </w:p>
    <w:p>
      <w:pPr>
        <w:spacing w:line="288" w:lineRule="auto"/>
        <w:ind w:firstLine="567"/>
        <w:jc w:val="both"/>
      </w:pPr>
      <w:r>
        <w:rPr>
          <w:rFonts w:ascii="Times New Roman" w:hAnsi="Times New Roman" w:eastAsia="Times New Roman"/>
          <w:b w:val="0"/>
          <w:i w:val="0"/>
          <w:sz w:val="26"/>
        </w:rPr>
        <w:t>Trong khuôn khổ vận hành thử, hai giảng viên đã thực hiện thành công các thao tác cốt lõi: đăng ký và kích hoạt tenant, cấu hình nhận diện thương hiệu, quản lý học viên và lớp học, phát hành hóa đơn và theo dõi nhật ký hoạt động. Phản hồi minh hoạ dưới đây phản ánh trải nghiệm dự kiến của hai nhóm người dùng (dữ liệu minh hoạ phục vụ trình bày, chưa phải khảo sát chính thức quy mô lớn):</w:t>
      </w:r>
    </w:p>
    <w:p>
      <w:pPr>
        <w:pStyle w:val="ListBullet"/>
        <w:spacing w:line="288" w:lineRule="auto"/>
        <w:ind w:left="850" w:hanging="283"/>
      </w:pPr>
      <w:r>
        <w:rPr>
          <w:rFonts w:ascii="Times New Roman" w:hAnsi="Times New Roman" w:eastAsia="Times New Roman"/>
          <w:b w:val="0"/>
          <w:i/>
          <w:sz w:val="26"/>
        </w:rPr>
        <w:t>"Trang chủ riêng giúp tôi giới thiệu lớp học chuyên nghiệp hơn mà không cần biết thiết kế."</w:t>
      </w:r>
      <w:r>
        <w:rPr>
          <w:rFonts w:ascii="Times New Roman" w:hAnsi="Times New Roman" w:eastAsia="Times New Roman"/>
          <w:b w:val="0"/>
          <w:i w:val="0"/>
          <w:sz w:val="26"/>
        </w:rPr>
        <w:t xml:space="preserve"> — phản hồi minh hoạ, giảng viên gói Trả phí.</w:t>
      </w:r>
    </w:p>
    <w:p>
      <w:pPr>
        <w:pStyle w:val="ListBullet"/>
        <w:spacing w:line="288" w:lineRule="auto"/>
        <w:ind w:left="850" w:hanging="283"/>
      </w:pPr>
      <w:r>
        <w:rPr>
          <w:rFonts w:ascii="Times New Roman" w:hAnsi="Times New Roman" w:eastAsia="Times New Roman"/>
          <w:b w:val="0"/>
          <w:i/>
          <w:sz w:val="26"/>
        </w:rPr>
        <w:t>"Quản lý điểm danh và học phí trên một nền tảng giúp tôi tiết kiệm thời gian so với ghi sổ thủ công."</w:t>
      </w:r>
      <w:r>
        <w:rPr>
          <w:rFonts w:ascii="Times New Roman" w:hAnsi="Times New Roman" w:eastAsia="Times New Roman"/>
          <w:b w:val="0"/>
          <w:i w:val="0"/>
          <w:sz w:val="26"/>
        </w:rPr>
        <w:t xml:space="preserve"> — phản hồi minh hoạ, giảng viên gói Miễn phí.</w:t>
      </w:r>
    </w:p>
    <w:p>
      <w:pPr>
        <w:spacing w:line="288" w:lineRule="auto"/>
        <w:ind w:firstLine="567"/>
        <w:jc w:val="both"/>
      </w:pPr>
      <w:r>
        <w:rPr>
          <w:rFonts w:ascii="Times New Roman" w:hAnsi="Times New Roman" w:eastAsia="Times New Roman"/>
          <w:b w:val="0"/>
          <w:i w:val="0"/>
          <w:sz w:val="26"/>
        </w:rPr>
        <w:t>Việc thu thập số liệu sử dụng định lượng đầy đủ (số người dùng hoạt động, số lần sinh AI Branding, số giao dịch thanh toán) và khảo sát chính thức trên quy mô lớn hơn thuộc lộ trình phát triển sau.</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