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37"/>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38"/>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bl>
    <w:p>
      <w:pPr>
        <w:sectPr>
          <w:headerReference w:type="default" r:id="rId39"/>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để duy trì chất lượng mã nguồn và tài liệu trong suốt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phục vụ nhóm trung tâm giáo dục thương mại tại Việt Nam (Hà Nội, TP. Hồ Chí Minh và các tỉnh lân cận). Về thời gian, phạm vi triển khai kéo dài từ tháng 5/2026 đến hết giai đoạn thử nghiệm tenant (~tháng 9/2026), với hai giáo viên độc lập (một dùng gói miễn phí, một dùng gói premium)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vấn đề phát hiện được chuyển hóa thành quy tắc kiểm soát kèm cơ chế kiểm tra tự động, tích hợp ngay trong quy trình phát triển.</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giai đoạn phát triển.</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thử nghiệm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thử nghiệm tenant, user onboarding flow, KPI metrics, scope thử nghiệm.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thử nghiệm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thử nghiệm.</w:t>
      </w:r>
    </w:p>
    <w:p>
      <w:pPr>
        <w:spacing w:line="288" w:lineRule="auto"/>
        <w:ind w:firstLine="567"/>
        <w:jc w:val="both"/>
      </w:pPr>
      <w:r>
        <w:rPr>
          <w:rFonts w:ascii="Times New Roman" w:hAnsi="Times New Roman" w:eastAsia="Times New Roman"/>
          <w:b w:val="0"/>
          <w:i w:val="0"/>
          <w:sz w:val="26"/>
        </w:rPr>
        <w:t>Phạm vi nghiên cứu của đề tài tập trung vào giai đoạn thử nghiệm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với quy mô đề tài và deadline pháp lý cứng PDPL 2023.</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[18], Nghị định 53/2022/NĐ-CP [11], Thông tư 78/2021/TT-BTC [20],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[21], Beck TDD [16], Poppendieck Lean [22], IEEE 730-2014 SQA [23], OWASP Top 10 [19]); và tài liệu kỹ thuật của các sản phẩm tham khảo (MISA AMIS [5], Mona eLMS [6], Easy Edu [7], DotB [8]).</w:t>
      </w:r>
    </w:p>
    <w:p>
      <w:pPr>
        <w:pStyle w:val="Heading2"/>
      </w:pPr>
      <w:r>
        <w:rPr>
          <w:rFonts w:ascii="Times New Roman" w:hAnsi="Times New Roman" w:eastAsia="Times New Roman"/>
          <w:b/>
          <w:color w:val="000000"/>
          <w:sz w:val="32"/>
        </w:rPr>
        <w:t>1.2 Bài toán</w:t>
      </w:r>
    </w:p>
    <w:p>
      <w:pPr>
        <w:pStyle w:val="Heading3"/>
      </w:pPr>
      <w:r>
        <w:rPr>
          <w:rFonts w:ascii="Times New Roman" w:hAnsi="Times New Roman" w:eastAsia="Times New Roman"/>
          <w:b/>
          <w:color w:val="000000"/>
          <w:sz w:val="28"/>
        </w:rPr>
        <w:t>1.2.1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1.2.2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1.2.3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Theo số liệu công bố trên website chính thức [5] (truy cập ngày 20/05/2026),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sản phẩm MISA EMIS — sản phẩm B2B phục vụ trường công lập của công ty MISA</w:t>
      </w:r>
    </w:p>
    <w:p>
      <w:pPr>
        <w:spacing w:line="288" w:lineRule="auto"/>
        <w:ind w:firstLine="567"/>
        <w:jc w:val="both"/>
      </w:pP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1.2.4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1.2.6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1.5</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Chủ trung tâm (Owner):</w:t>
      </w:r>
      <w:r>
        <w:rPr>
          <w:rFonts w:ascii="Times New Roman" w:hAnsi="Times New Roman" w:eastAsia="Times New Roman"/>
          <w:b w:val="0"/>
          <w:i w:val="0"/>
          <w:sz w:val="26"/>
        </w:rPr>
        <w:t xml:space="preserve"> theo các báo cáo Magenest 2024 [2] và 6Wresearch 2024 [3] (cả hai truy cập ngày 20/05/2026), chủ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1.2.9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1.2.10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3"/>
      </w:pPr>
      <w:r>
        <w:rPr>
          <w:rFonts w:ascii="Times New Roman" w:hAnsi="Times New Roman" w:eastAsia="Times New Roman"/>
          <w:b/>
          <w:color w:val="000000"/>
          <w:sz w:val="28"/>
        </w:rPr>
        <w:t>1.2.11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thử nghiệm tenant gồm vận hành thử với hai giáo viên độc lập (một dùng gói miễn phí, một dùng gói premium), tập trung kiểm chứng onboarding wizard, AI Branding, kiến trúc multi-tenant và compliance baseline; phạm vi triển khai trong giai đoạn này không thu phí và chấp nhận chính sách giảm thiểu chi phí hạ tầng. Giai đoạn thanh toán thử nghiệm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vận hành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thử nghiệm tenant readiness — bao gồm core onboarding wizard, AI Branding tự động, quản lý lifecycle tenant đầy đủ, và compliance pháp luật Việt Nam (PDPL, Cybersecurity, eInvoice baseline). Các giai đoạn thanh toán thử nghiệm, vận hành chính thức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Tác giả đặt mục tiêu hiệu năng cho giai đoạn thử nghiệm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em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pStyle w:val="Heading3"/>
      </w:pPr>
      <w:r>
        <w:rPr>
          <w:rFonts w:ascii="Times New Roman" w:hAnsi="Times New Roman" w:eastAsia="Times New Roman"/>
          <w:b/>
          <w:color w:val="000000"/>
          <w:sz w:val="28"/>
        </w:rPr>
        <w:t>2.1.3 Bối cảnh thị trường mục tiêu</w:t>
      </w:r>
    </w:p>
    <w:p>
      <w:pPr>
        <w:spacing w:line="288" w:lineRule="auto"/>
        <w:ind w:firstLine="567"/>
        <w:jc w:val="both"/>
      </w:pPr>
      <w:r>
        <w:rPr>
          <w:rFonts w:ascii="Times New Roman" w:hAnsi="Times New Roman" w:eastAsia="Times New Roman"/>
          <w:b/>
          <w:i w:val="0"/>
          <w:sz w:val="26"/>
        </w:rPr>
        <w:t>Mô hình B-learning Việt Nam.</w:t>
      </w:r>
      <w:r>
        <w:rPr>
          <w:rFonts w:ascii="Times New Roman" w:hAnsi="Times New Roman" w:eastAsia="Times New Roman"/>
          <w:b w:val="0"/>
          <w:i w:val="0"/>
          <w:sz w:val="26"/>
        </w:rPr>
        <w:t xml:space="preserve"> 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thử nghiệm hỗ trợ email; tích hợp Zalo OA cho phụ huynh là lộ trình giai đoạn vận hành chính thức.</w:t>
      </w:r>
    </w:p>
    <w:p>
      <w:pPr>
        <w:spacing w:line="288" w:lineRule="auto"/>
        <w:ind w:firstLine="567"/>
        <w:jc w:val="both"/>
      </w:pPr>
      <w:r>
        <w:rPr>
          <w:rFonts w:ascii="Times New Roman" w:hAnsi="Times New Roman" w:eastAsia="Times New Roman"/>
          <w:b/>
          <w:i w:val="0"/>
          <w:sz w:val="26"/>
        </w:rPr>
        <w:t>Phân tích persona giai đoạn thử nghiệm.</w:t>
      </w:r>
      <w:r>
        <w:rPr>
          <w:rFonts w:ascii="Times New Roman" w:hAnsi="Times New Roman" w:eastAsia="Times New Roman"/>
          <w:b w:val="0"/>
          <w:i w:val="0"/>
          <w:sz w:val="26"/>
        </w:rPr>
        <w:t xml:space="preserve"> 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thử nghiệm) + Zalo group cho cập nhật thường xuyên (giai đoạn vận hành chính thức); học sinh truy cập mobile chiếm 85% phiên.</w:t>
      </w:r>
    </w:p>
    <w:p>
      <w:pPr>
        <w:spacing w:line="288" w:lineRule="auto"/>
        <w:ind w:firstLine="567"/>
        <w:jc w:val="both"/>
      </w:pPr>
      <w:r>
        <w:rPr>
          <w:rFonts w:ascii="Times New Roman" w:hAnsi="Times New Roman" w:eastAsia="Times New Roman"/>
          <w:b/>
          <w:i w:val="0"/>
          <w:sz w:val="26"/>
        </w:rPr>
        <w:t>Đặc trưng thị trường giáo dục Việt Nam.</w:t>
      </w:r>
      <w:r>
        <w:rPr>
          <w:rFonts w:ascii="Times New Roman" w:hAnsi="Times New Roman" w:eastAsia="Times New Roman"/>
          <w:b w:val="0"/>
          <w:i w:val="0"/>
          <w:sz w:val="26"/>
        </w:rPr>
        <w:t xml:space="preserve"> Bảng 2.3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i w:val="0"/>
          <w:sz w:val="26"/>
        </w:rPr>
        <w:t>Định vị cạnh tranh.</w:t>
      </w:r>
      <w:r>
        <w:rPr>
          <w:rFonts w:ascii="Times New Roman" w:hAnsi="Times New Roman" w:eastAsia="Times New Roman"/>
          <w:b w:val="0"/>
          <w:i w:val="0"/>
          <w:sz w:val="26"/>
        </w:rPr>
        <w:t xml:space="preserve"> Tham khảo phân tích Chương 1, Kite Platform đối sánh với hệ thống tương tự trong nhóm SaaS giáo dục Việt Nam (Bảng 2.4).</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thử nghiệm</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(giai đoạn vận hành chính thức)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(giai đoạn vận hành chính thức),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275032"/>
            <wp:docPr id="7" name="Picture 7"/>
            <wp:cNvGraphicFramePr>
              <a:graphicFrameLocks noChangeAspect="1"/>
            </wp:cNvGraphicFramePr>
            <a:graphic>
              <a:graphicData uri="http://schemas.openxmlformats.org/drawingml/2006/picture">
                <pic:pic>
                  <pic:nvPicPr>
                    <pic:cNvPr id="0" name="mermaid-973d5e0c88ffff67.png"/>
                    <pic:cNvPicPr/>
                  </pic:nvPicPr>
                  <pic:blipFill>
                    <a:blip r:embed="rId15"/>
                    <a:stretch>
                      <a:fillRect/>
                    </a:stretch>
                  </pic:blipFill>
                  <pic:spPr>
                    <a:xfrm>
                      <a:off x="0" y="0"/>
                      <a:ext cx="5760000" cy="42750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pageBreakBefore/>
        <w:spacing w:before="120" w:after="120"/>
        <w:jc w:val="center"/>
      </w:pPr>
      <w:r>
        <w:drawing>
          <wp:inline xmlns:a="http://schemas.openxmlformats.org/drawingml/2006/main" xmlns:pic="http://schemas.openxmlformats.org/drawingml/2006/picture">
            <wp:extent cx="5760000" cy="6201005"/>
            <wp:docPr id="8" name="Picture 8"/>
            <wp:cNvGraphicFramePr>
              <a:graphicFrameLocks noChangeAspect="1"/>
            </wp:cNvGraphicFramePr>
            <a:graphic>
              <a:graphicData uri="http://schemas.openxmlformats.org/drawingml/2006/picture">
                <pic:pic>
                  <pic:nvPicPr>
                    <pic:cNvPr id="0" name="mermaid-8421f8361e01c736.png"/>
                    <pic:cNvPicPr/>
                  </pic:nvPicPr>
                  <pic:blipFill>
                    <a:blip r:embed="rId16"/>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Em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do tác giả tự thiết kế</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pageBreakBefore/>
        <w:spacing w:before="120" w:after="120"/>
        <w:jc w:val="center"/>
      </w:pPr>
      <w:r>
        <w:drawing>
          <wp:inline xmlns:a="http://schemas.openxmlformats.org/drawingml/2006/main" xmlns:pic="http://schemas.openxmlformats.org/drawingml/2006/picture">
            <wp:extent cx="4692413" cy="6480000"/>
            <wp:docPr id="9" name="Picture 9"/>
            <wp:cNvGraphicFramePr>
              <a:graphicFrameLocks noChangeAspect="1"/>
            </wp:cNvGraphicFramePr>
            <a:graphic>
              <a:graphicData uri="http://schemas.openxmlformats.org/drawingml/2006/picture">
                <pic:pic>
                  <pic:nvPicPr>
                    <pic:cNvPr id="0" name="mermaid-a3293e2f9619f813.png"/>
                    <pic:cNvPicPr/>
                  </pic:nvPicPr>
                  <pic:blipFill>
                    <a:blip r:embed="rId17"/>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2607157"/>
            <wp:docPr id="10" name="Picture 10"/>
            <wp:cNvGraphicFramePr>
              <a:graphicFrameLocks noChangeAspect="1"/>
            </wp:cNvGraphicFramePr>
            <a:graphic>
              <a:graphicData uri="http://schemas.openxmlformats.org/drawingml/2006/picture">
                <pic:pic>
                  <pic:nvPicPr>
                    <pic:cNvPr id="0" name="mermaid-937a5ae77a6cbd8c.png"/>
                    <pic:cNvPicPr/>
                  </pic:nvPicPr>
                  <pic:blipFill>
                    <a:blip r:embed="rId18"/>
                    <a:stretch>
                      <a:fillRect/>
                    </a:stretch>
                  </pic:blipFill>
                  <pic:spPr>
                    <a:xfrm>
                      <a:off x="0" y="0"/>
                      <a:ext cx="5760000" cy="2607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2880000"/>
            <wp:docPr id="11" name="Picture 11"/>
            <wp:cNvGraphicFramePr>
              <a:graphicFrameLocks noChangeAspect="1"/>
            </wp:cNvGraphicFramePr>
            <a:graphic>
              <a:graphicData uri="http://schemas.openxmlformats.org/drawingml/2006/picture">
                <pic:pic>
                  <pic:nvPicPr>
                    <pic:cNvPr id="0" name="mermaid-3352d2cdf91ac76b.png"/>
                    <pic:cNvPicPr/>
                  </pic:nvPicPr>
                  <pic:blipFill>
                    <a:blip r:embed="rId19"/>
                    <a:stretch>
                      <a:fillRect/>
                    </a:stretch>
                  </pic:blipFill>
                  <pic:spPr>
                    <a:xfrm>
                      <a:off x="0" y="0"/>
                      <a:ext cx="5760000" cy="28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line="288" w:lineRule="auto"/>
        <w:ind w:firstLine="567"/>
        <w:jc w:val="both"/>
      </w:pPr>
      <w:r>
        <w:rPr>
          <w:rFonts w:ascii="Times New Roman" w:hAnsi="Times New Roman" w:eastAsia="Times New Roman"/>
          <w:b w:val="0"/>
          <w:i w:val="0"/>
          <w:sz w:val="26"/>
        </w:rPr>
        <w:t>Hình 2.4c mô tả chuỗi định tuyến tổng thể từ trình duyệt đến dữ liệu landing của tenant.</w:t>
      </w:r>
    </w:p>
    <w:p>
      <w:pPr>
        <w:pageBreakBefore/>
        <w:spacing w:before="120" w:after="120"/>
        <w:jc w:val="center"/>
      </w:pPr>
      <w:r>
        <w:drawing>
          <wp:inline xmlns:a="http://schemas.openxmlformats.org/drawingml/2006/main" xmlns:pic="http://schemas.openxmlformats.org/drawingml/2006/picture">
            <wp:extent cx="3352541" cy="6480000"/>
            <wp:docPr id="12" name="Picture 12"/>
            <wp:cNvGraphicFramePr>
              <a:graphicFrameLocks noChangeAspect="1"/>
            </wp:cNvGraphicFramePr>
            <a:graphic>
              <a:graphicData uri="http://schemas.openxmlformats.org/drawingml/2006/picture">
                <pic:pic>
                  <pic:nvPicPr>
                    <pic:cNvPr id="0" name="mermaid-6c1e64d5b93b5ba2.png"/>
                    <pic:cNvPicPr/>
                  </pic:nvPicPr>
                  <pic:blipFill>
                    <a:blip r:embed="rId20"/>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p>
      <w:pPr>
        <w:spacing w:line="288" w:lineRule="auto"/>
        <w:ind w:firstLine="567"/>
        <w:jc w:val="both"/>
      </w:pPr>
      <w:r>
        <w:rPr>
          <w:rFonts w:ascii="Times New Roman" w:hAnsi="Times New Roman" w:eastAsia="Times New Roman"/>
          <w:b w:val="0"/>
          <w:i w:val="0"/>
          <w:sz w:val="26"/>
        </w:rPr>
        <w:t>Bảng 2.9 so sánh hai phương thức truy cập theo các tiêu chí cấp phát, DNS, chứng chỉ SSL và xác minh quyền sở hữu.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So sánh subdomain và tên miền riêng trong cơ chế định tuyến đa tenant</w:t>
      </w:r>
    </w:p>
    <w:p>
      <w:pPr>
        <w:spacing w:line="288" w:lineRule="auto"/>
        <w:ind w:firstLine="567"/>
        <w:jc w:val="both"/>
      </w:pPr>
      <w:r>
        <w:rPr>
          <w:rFonts w:ascii="Times New Roman" w:hAnsi="Times New Roman" w:eastAsia="Times New Roman"/>
          <w:b w:val="0"/>
          <w:i w:val="0"/>
          <w:sz w:val="26"/>
        </w:rPr>
        <w:t>Hình 2.4d trình bày tuần tự phân giải tenant theo subdomain, từ yêu cầu trình duyệt đến dữ liệu landing được lọc bởi RLS.</w:t>
      </w:r>
    </w:p>
    <w:p>
      <w:pPr>
        <w:spacing w:before="120" w:after="120"/>
        <w:jc w:val="center"/>
      </w:pPr>
      <w:r>
        <w:drawing>
          <wp:inline xmlns:a="http://schemas.openxmlformats.org/drawingml/2006/main" xmlns:pic="http://schemas.openxmlformats.org/drawingml/2006/picture">
            <wp:extent cx="5760000" cy="2264898"/>
            <wp:docPr id="13" name="Picture 13"/>
            <wp:cNvGraphicFramePr>
              <a:graphicFrameLocks noChangeAspect="1"/>
            </wp:cNvGraphicFramePr>
            <a:graphic>
              <a:graphicData uri="http://schemas.openxmlformats.org/drawingml/2006/picture">
                <pic:pic>
                  <pic:nvPicPr>
                    <pic:cNvPr id="0" name="mermaid-7dabbf6c19ae66fe.png"/>
                    <pic:cNvPicPr/>
                  </pic:nvPicPr>
                  <pic:blipFill>
                    <a:blip r:embed="rId21"/>
                    <a:stretch>
                      <a:fillRect/>
                    </a:stretch>
                  </pic:blipFill>
                  <pic:spPr>
                    <a:xfrm>
                      <a:off x="0" y="0"/>
                      <a:ext cx="5760000" cy="226489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pageBreakBefore/>
        <w:spacing w:before="120" w:after="120"/>
        <w:jc w:val="center"/>
      </w:pPr>
      <w:r>
        <w:drawing>
          <wp:inline xmlns:a="http://schemas.openxmlformats.org/drawingml/2006/main" xmlns:pic="http://schemas.openxmlformats.org/drawingml/2006/picture">
            <wp:extent cx="3492050" cy="6480000"/>
            <wp:docPr id="14" name="Picture 14"/>
            <wp:cNvGraphicFramePr>
              <a:graphicFrameLocks noChangeAspect="1"/>
            </wp:cNvGraphicFramePr>
            <a:graphic>
              <a:graphicData uri="http://schemas.openxmlformats.org/drawingml/2006/picture">
                <pic:pic>
                  <pic:nvPicPr>
                    <pic:cNvPr id="0" name="mermaid-cfe5ec891d00c4b9.png"/>
                    <pic:cNvPicPr/>
                  </pic:nvPicPr>
                  <pic:blipFill>
                    <a:blip r:embed="rId22"/>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5" name="Picture 15"/>
            <wp:cNvGraphicFramePr>
              <a:graphicFrameLocks noChangeAspect="1"/>
            </wp:cNvGraphicFramePr>
            <a:graphic>
              <a:graphicData uri="http://schemas.openxmlformats.org/drawingml/2006/picture">
                <pic:pic>
                  <pic:nvPicPr>
                    <pic:cNvPr id="0" name="mermaid-f005980df8c8a241.png"/>
                    <pic:cNvPicPr/>
                  </pic:nvPicPr>
                  <pic:blipFill>
                    <a:blip r:embed="rId23"/>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760000" cy="1783058"/>
            <wp:docPr id="16" name="Picture 16"/>
            <wp:cNvGraphicFramePr>
              <a:graphicFrameLocks noChangeAspect="1"/>
            </wp:cNvGraphicFramePr>
            <a:graphic>
              <a:graphicData uri="http://schemas.openxmlformats.org/drawingml/2006/picture">
                <pic:pic>
                  <pic:nvPicPr>
                    <pic:cNvPr id="0" name="mermaid-c1c711fb26610c4d.png"/>
                    <pic:cNvPicPr/>
                  </pic:nvPicPr>
                  <pic:blipFill>
                    <a:blip r:embed="rId24"/>
                    <a:stretch>
                      <a:fillRect/>
                    </a:stretch>
                  </pic:blipFill>
                  <pic:spPr>
                    <a:xfrm>
                      <a:off x="0" y="0"/>
                      <a:ext cx="5760000" cy="17830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2673317"/>
            <wp:docPr id="17" name="Picture 17"/>
            <wp:cNvGraphicFramePr>
              <a:graphicFrameLocks noChangeAspect="1"/>
            </wp:cNvGraphicFramePr>
            <a:graphic>
              <a:graphicData uri="http://schemas.openxmlformats.org/drawingml/2006/picture">
                <pic:pic>
                  <pic:nvPicPr>
                    <pic:cNvPr id="0" name="mermaid-b7796a844892db44.png"/>
                    <pic:cNvPicPr/>
                  </pic:nvPicPr>
                  <pic:blipFill>
                    <a:blip r:embed="rId25"/>
                    <a:stretch>
                      <a:fillRect/>
                    </a:stretch>
                  </pic:blipFill>
                  <pic:spPr>
                    <a:xfrm>
                      <a:off x="0" y="0"/>
                      <a:ext cx="5760000" cy="267331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pageBreakBefore/>
        <w:spacing w:before="120" w:after="120"/>
        <w:jc w:val="center"/>
      </w:pPr>
      <w:r>
        <w:drawing>
          <wp:inline xmlns:a="http://schemas.openxmlformats.org/drawingml/2006/main" xmlns:pic="http://schemas.openxmlformats.org/drawingml/2006/picture">
            <wp:extent cx="5188811" cy="6480000"/>
            <wp:docPr id="18" name="Picture 18"/>
            <wp:cNvGraphicFramePr>
              <a:graphicFrameLocks noChangeAspect="1"/>
            </wp:cNvGraphicFramePr>
            <a:graphic>
              <a:graphicData uri="http://schemas.openxmlformats.org/drawingml/2006/picture">
                <pic:pic>
                  <pic:nvPicPr>
                    <pic:cNvPr id="0" name="mermaid-3e2649c3cbb965e5.png"/>
                    <pic:cNvPicPr/>
                  </pic:nvPicPr>
                  <pic:blipFill>
                    <a:blip r:embed="rId26"/>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thử nghiệm).</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trung tâm)</w:t>
      </w:r>
    </w:p>
    <w:p>
      <w:pPr>
        <w:pageBreakBefore/>
        <w:spacing w:before="120" w:after="60"/>
        <w:jc w:val="center"/>
      </w:pPr>
      <w:r>
        <w:drawing>
          <wp:inline xmlns:a="http://schemas.openxmlformats.org/drawingml/2006/main" xmlns:pic="http://schemas.openxmlformats.org/drawingml/2006/picture">
            <wp:extent cx="1975275" cy="6480000"/>
            <wp:docPr id="19" name="Picture 19"/>
            <wp:cNvGraphicFramePr>
              <a:graphicFrameLocks noChangeAspect="1"/>
            </wp:cNvGraphicFramePr>
            <a:graphic>
              <a:graphicData uri="http://schemas.openxmlformats.org/drawingml/2006/picture">
                <pic:pic>
                  <pic:nvPicPr>
                    <pic:cNvPr id="0" name="12-public-homepage-sky-branded.png"/>
                    <pic:cNvPicPr/>
                  </pic:nvPicPr>
                  <pic:blipFill>
                    <a:blip r:embed="rId27"/>
                    <a:stretch>
                      <a:fillRect/>
                    </a:stretch>
                  </pic:blipFill>
                  <pic:spPr>
                    <a:xfrm>
                      <a:off x="0" y="0"/>
                      <a:ext cx="1975275" cy="648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0" name="Picture 20"/>
            <wp:cNvGraphicFramePr>
              <a:graphicFrameLocks noChangeAspect="1"/>
            </wp:cNvGraphicFramePr>
            <a:graphic>
              <a:graphicData uri="http://schemas.openxmlformats.org/drawingml/2006/picture">
                <pic:pic>
                  <pic:nvPicPr>
                    <pic:cNvPr id="0" name="01-login-page.png"/>
                    <pic:cNvPicPr/>
                  </pic:nvPicPr>
                  <pic:blipFill>
                    <a:blip r:embed="rId28"/>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1" name="Picture 21"/>
            <wp:cNvGraphicFramePr>
              <a:graphicFrameLocks noChangeAspect="1"/>
            </wp:cNvGraphicFramePr>
            <a:graphic>
              <a:graphicData uri="http://schemas.openxmlformats.org/drawingml/2006/picture">
                <pic:pic>
                  <pic:nvPicPr>
                    <pic:cNvPr id="0" name="02-dashboard-overview-kpi-orange.png"/>
                    <pic:cNvPicPr/>
                  </pic:nvPicPr>
                  <pic:blipFill>
                    <a:blip r:embed="rId29"/>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trung tâm Sky Education (tên giả định) với bộ nhận diện thương hiệu riêng (tông màu cam chủ đạo, tên trung tâm và khẩu hiệu "Chuyên nghiệp &amp; Hiệu quả"). Trang được dựng theo cấu trúc nhiều khối: giới thiệu, tính năng nổi bật (Hệ thống LMS, Quản lý Học viên, Thanh toán &amp; Báo cáo), đội ngũ giáo viên, các chứng chỉ đào tạo (IELTS, TOEIC, Cambridge, VSTEP), bảng giá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2.800.000đ/tháng</w:t>
      </w:r>
      <w:r>
        <w:rPr>
          <w:rFonts w:ascii="Times New Roman" w:hAnsi="Times New Roman" w:eastAsia="Times New Roman"/>
          <w:b w:val="0"/>
          <w:i w:val="0"/>
          <w:sz w:val="26"/>
        </w:rPr>
        <w:t xml:space="preserve">, </w:t>
      </w:r>
      <w:r>
        <w:rPr>
          <w:rFonts w:ascii="Times New Roman" w:hAnsi="Times New Roman" w:eastAsia="Times New Roman"/>
          <w:b w:val="0"/>
          <w:i/>
          <w:sz w:val="26"/>
        </w:rPr>
        <w:t>4.500.000đ/tháng</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Chủ trung tâm nhập thông tin tài khoản đã được cấp sau khi yêu cầu truy cập được quản trị viên nền tảng duyệt. Bước thứ ba là dashboard tổng quan sau đăng nhập, hiển thị dòng tóm tắt "Trung tâm hiện có 78 học viên · 5 khóa học" cùng sáu thẻ chỉ số (Học viên, Khóa học, Giáo viên, Điểm danh hôm nay, Doanh thu tuần, Tỷ lệ giữ chân). Trong giai đoạn thử nghiệm, hai thẻ Học viên và Khóa học đã hiển thị số liệu thực (78 và 5),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drawing>
          <wp:inline xmlns:a="http://schemas.openxmlformats.org/drawingml/2006/main" xmlns:pic="http://schemas.openxmlformats.org/drawingml/2006/picture">
            <wp:extent cx="5760000" cy="3600000"/>
            <wp:docPr id="22" name="Picture 22"/>
            <wp:cNvGraphicFramePr>
              <a:graphicFrameLocks noChangeAspect="1"/>
            </wp:cNvGraphicFramePr>
            <a:graphic>
              <a:graphicData uri="http://schemas.openxmlformats.org/drawingml/2006/picture">
                <pic:pic>
                  <pic:nvPicPr>
                    <pic:cNvPr id="0" name="03-branding-settings.png"/>
                    <pic:cNvPicPr/>
                  </pic:nvPicPr>
                  <pic:blipFill>
                    <a:blip r:embed="rId3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drawing>
          <wp:inline xmlns:a="http://schemas.openxmlformats.org/drawingml/2006/main" xmlns:pic="http://schemas.openxmlformats.org/drawingml/2006/picture">
            <wp:extent cx="5760000" cy="4000000"/>
            <wp:docPr id="23" name="Picture 23"/>
            <wp:cNvGraphicFramePr>
              <a:graphicFrameLocks noChangeAspect="1"/>
            </wp:cNvGraphicFramePr>
            <a:graphic>
              <a:graphicData uri="http://schemas.openxmlformats.org/drawingml/2006/picture">
                <pic:pic>
                  <pic:nvPicPr>
                    <pic:cNvPr id="0" name="05-students.png"/>
                    <pic:cNvPicPr/>
                  </pic:nvPicPr>
                  <pic:blipFill>
                    <a:blip r:embed="rId31"/>
                    <a:stretch>
                      <a:fillRect/>
                    </a:stretch>
                  </pic:blipFill>
                  <pic:spPr>
                    <a:xfrm>
                      <a:off x="0" y="0"/>
                      <a:ext cx="5760000" cy="40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Trong giai đoạn thử nghiệm, trung tâm mẫu đã có 78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trung tâm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trong giai đoạn thử nghiệm: trang chủ công khai mang thương hiệu riêng, tùy biến thương hiệu bằng AI, dashboard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tổng hợp số liệu) cùng các thống kê doanh thu. Các giao diện thuộc phạm vi giai đoạn tiếp theo gồm: cổng thông tin dành cho phụ huynh (persona P4), ứng dụng di động gốc (sau giai đoạn thương mại hóa), và quản lý học bạ K-12 (persona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pageBreakBefore/>
        <w:spacing w:before="120" w:after="120"/>
        <w:jc w:val="center"/>
      </w:pPr>
      <w:r>
        <w:drawing>
          <wp:inline xmlns:a="http://schemas.openxmlformats.org/drawingml/2006/main" xmlns:pic="http://schemas.openxmlformats.org/drawingml/2006/picture">
            <wp:extent cx="3620404" cy="6480000"/>
            <wp:docPr id="24" name="Picture 24"/>
            <wp:cNvGraphicFramePr>
              <a:graphicFrameLocks noChangeAspect="1"/>
            </wp:cNvGraphicFramePr>
            <a:graphic>
              <a:graphicData uri="http://schemas.openxmlformats.org/drawingml/2006/picture">
                <pic:pic>
                  <pic:nvPicPr>
                    <pic:cNvPr id="0" name="mermaid-f91993f073a5141c.png"/>
                    <pic:cNvPicPr/>
                  </pic:nvPicPr>
                  <pic:blipFill>
                    <a:blip r:embed="rId32"/>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pageBreakBefore/>
        <w:spacing w:before="120" w:after="120"/>
        <w:jc w:val="center"/>
      </w:pPr>
      <w:r>
        <w:drawing>
          <wp:inline xmlns:a="http://schemas.openxmlformats.org/drawingml/2006/main" xmlns:pic="http://schemas.openxmlformats.org/drawingml/2006/picture">
            <wp:extent cx="3220303" cy="6480000"/>
            <wp:docPr id="25" name="Picture 25"/>
            <wp:cNvGraphicFramePr>
              <a:graphicFrameLocks noChangeAspect="1"/>
            </wp:cNvGraphicFramePr>
            <a:graphic>
              <a:graphicData uri="http://schemas.openxmlformats.org/drawingml/2006/picture">
                <pic:pic>
                  <pic:nvPicPr>
                    <pic:cNvPr id="0" name="plantuml-294497237df6674e.png"/>
                    <pic:cNvPicPr/>
                  </pic:nvPicPr>
                  <pic:blipFill>
                    <a:blip r:embed="rId33"/>
                    <a:stretch>
                      <a:fillRect/>
                    </a:stretch>
                  </pic:blipFill>
                  <pic:spPr>
                    <a:xfrm>
                      <a:off x="0" y="0"/>
                      <a:ext cx="3220303"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pageBreakBefore/>
        <w:spacing w:before="120" w:after="120"/>
        <w:jc w:val="center"/>
      </w:pPr>
      <w:r>
        <w:drawing>
          <wp:inline xmlns:a="http://schemas.openxmlformats.org/drawingml/2006/main" xmlns:pic="http://schemas.openxmlformats.org/drawingml/2006/picture">
            <wp:extent cx="5760000" cy="5004659"/>
            <wp:docPr id="26" name="Picture 26"/>
            <wp:cNvGraphicFramePr>
              <a:graphicFrameLocks noChangeAspect="1"/>
            </wp:cNvGraphicFramePr>
            <a:graphic>
              <a:graphicData uri="http://schemas.openxmlformats.org/drawingml/2006/picture">
                <pic:pic>
                  <pic:nvPicPr>
                    <pic:cNvPr id="0" name="plantuml-e506096e358f22e1.png"/>
                    <pic:cNvPicPr/>
                  </pic:nvPicPr>
                  <pic:blipFill>
                    <a:blip r:embed="rId34"/>
                    <a:stretch>
                      <a:fillRect/>
                    </a:stretch>
                  </pic:blipFill>
                  <pic:spPr>
                    <a:xfrm>
                      <a:off x="0" y="0"/>
                      <a:ext cx="5760000" cy="500465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ở giai đoạn thử nghiệm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219294"/>
            <wp:docPr id="27" name="Picture 27"/>
            <wp:cNvGraphicFramePr>
              <a:graphicFrameLocks noChangeAspect="1"/>
            </wp:cNvGraphicFramePr>
            <a:graphic>
              <a:graphicData uri="http://schemas.openxmlformats.org/drawingml/2006/picture">
                <pic:pic>
                  <pic:nvPicPr>
                    <pic:cNvPr id="0" name="mermaid-32cf937050deb6cc.png"/>
                    <pic:cNvPicPr/>
                  </pic:nvPicPr>
                  <pic:blipFill>
                    <a:blip r:embed="rId35"/>
                    <a:stretch>
                      <a:fillRect/>
                    </a:stretch>
                  </pic:blipFill>
                  <pic:spPr>
                    <a:xfrm>
                      <a:off x="0" y="0"/>
                      <a:ext cx="5760000" cy="221929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217663"/>
            <wp:docPr id="28" name="Picture 28"/>
            <wp:cNvGraphicFramePr>
              <a:graphicFrameLocks noChangeAspect="1"/>
            </wp:cNvGraphicFramePr>
            <a:graphic>
              <a:graphicData uri="http://schemas.openxmlformats.org/drawingml/2006/picture">
                <pic:pic>
                  <pic:nvPicPr>
                    <pic:cNvPr id="0" name="mermaid-4d19df8175f80777.png"/>
                    <pic:cNvPicPr/>
                  </pic:nvPicPr>
                  <pic:blipFill>
                    <a:blip r:embed="rId36"/>
                    <a:stretch>
                      <a:fillRect/>
                    </a:stretch>
                  </pic:blipFill>
                  <pic:spPr>
                    <a:xfrm>
                      <a:off x="0" y="0"/>
                      <a:ext cx="5760000" cy="221766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p>
      <w:pPr>
        <w:spacing w:line="288" w:lineRule="auto"/>
        <w:ind w:firstLine="567"/>
        <w:jc w:val="both"/>
      </w:pPr>
      <w:r>
        <w:rPr>
          <w:rFonts w:ascii="Times New Roman" w:hAnsi="Times New Roman" w:eastAsia="Times New Roman"/>
          <w:b w:val="0"/>
          <w:i w:val="0"/>
          <w:sz w:val="26"/>
        </w:rPr>
        <w:t xml:space="preserve">Bảng 4.1 liệt kê các bản ghi DNS chính được cấu hình cho tên miền </w:t>
      </w:r>
      <w:r>
        <w:rPr>
          <w:rFonts w:ascii="Times New Roman" w:hAnsi="Times New Roman" w:eastAsia="Times New Roman"/>
          <w:b w:val="0"/>
          <w:i/>
          <w:sz w:val="26"/>
        </w:rPr>
        <w:t>kitehub.me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resources terraform đã apply (CloudTrail captured); hai EC2 instance + RDS PostgreSQL multi-tenant schema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landing đa tenant; cơ chế phân giải Tenant → Domain → Landing (mục 2.2.6) hoạt động trên lớp gateway, được minh chứng qua trang chủ công khai của tenant mẫu Sky Education với giao diện thương hiệu riêng (mục 4.2);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Kết quả tương tác end-user + minh chứng</w:t>
      </w:r>
    </w:p>
    <w:p>
      <w:pPr>
        <w:spacing w:line="288" w:lineRule="auto"/>
        <w:ind w:firstLine="567"/>
        <w:jc w:val="both"/>
      </w:pPr>
      <w:r>
        <w:rPr>
          <w:rFonts w:ascii="Times New Roman" w:hAnsi="Times New Roman" w:eastAsia="Times New Roman"/>
          <w:b w:val="0"/>
          <w:i w:val="0"/>
          <w:sz w:val="26"/>
        </w:rPr>
        <w:t>[Placeholder — phần này sẽ điền sau khi thu thập feedback từ beta tenants trong giai đoạn launch invite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key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feedback xác nhận từ chủ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(active users, AI branding generations, payment processed) trong cửa sổ 2-4 tuần đầu sau khi mời beta.</w:t>
      </w:r>
    </w:p>
    <w:p>
      <w:pPr>
        <w:pStyle w:val="ListBullet"/>
        <w:spacing w:line="288" w:lineRule="auto"/>
        <w:ind w:left="850" w:hanging="283"/>
      </w:pPr>
      <w:r>
        <w:rPr>
          <w:rFonts w:ascii="Times New Roman" w:hAnsi="Times New Roman" w:eastAsia="Times New Roman"/>
          <w:b w:val="0"/>
          <w:i w:val="0"/>
          <w:sz w:val="26"/>
        </w:rPr>
        <w:t>Screenshot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giai đoạn thử nghiệm mới có hai giáo viên độc lập (một gói miễn phí, một gói premium)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40"/>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header" Target="header3.xml"/><Relationship Id="rId40"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