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Lean</w:t>
            </w:r>
          </w:p>
        </w:tc>
        <w:tc>
          <w:tcPr>
            <w:tcW w:type="dxa" w:w="7087"/>
          </w:tcPr>
          <w:p>
            <w:r>
              <w:rPr>
                <w:rFonts w:ascii="Times New Roman" w:hAnsi="Times New Roman" w:eastAsia="Times New Roman"/>
                <w:b w:val="0"/>
                <w:i w:val="0"/>
                <w:sz w:val="24"/>
              </w:rPr>
              <w:t>Lean Software Development — phát triển phần mềm tinh gọn (Poppendieck)</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phát triển hướng kiểm thử (TDD — Test-Driven Development, per Beck 2002), thiết kế hướng miền (DDD — Domain-Driven Design, per Evans 2003), chu trình Plan-Do-Check-Act (PDCA, per Deming 1986) và tư duy tinh gọn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 Application Programming Interface —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(mô hình mô tả kiến trúc phần mềm bốn cấp Context-Container-Component-Code), kết hợp Use Case + Class + ERD (Entity-Relationship Diagram — sơ đồ thực thể-quan hệ)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truyền ngữ cảnh qua JWT — JSON Web Token, kiến trúc REST — Representational State Transfer — 3 tầng) được kiểm chứng qua unit test, integration test và E2E test. Thứ tư, đồ án trình bày kết quả triển khai thực tế trong phạm vi hiện tại kèm các KPI (Key Performance Indicator — chỉ số hiệu suất chính)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mô hình hóa C4 Context + Container, sơ đồ use case, kiến trúc đa tenant single-bucket với defense-in-depth năm lớp.</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và tích hợp Zalo ZNS push notification sang lộ trình phát triển sau có rủi ro mất khách so với Mona eLMS và Easy Edu vốn đã có ứng dụng gốc — giải pháp giảm thiểu là giao diện web đáp ứng kết hợp nhóm Zalo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hiện tại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hiện tại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hiện tại:</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hiện tại = 5:</w:t>
      </w:r>
      <w:r>
        <w:rPr>
          <w:rFonts w:ascii="Times New Roman" w:hAnsi="Times New Roman" w:eastAsia="Times New Roman"/>
          <w:b w:val="0"/>
          <w:i w:val="0"/>
          <w:sz w:val="26"/>
        </w:rPr>
        <w:t xml:space="preserve"> Tổng chi phí hạ tầng ≤$15/tháng (RDS Free Tier 12 tháng đầu, ECS Fargate Spot, S3 dưới 5GB), phù hợp quy mô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lộ trình phát triển sau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domain-plane)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2.11).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1" name="Picture 21"/>
            <wp:cNvGraphicFramePr>
              <a:graphicFrameLocks noChangeAspect="1"/>
            </wp:cNvGraphicFramePr>
            <a:graphic>
              <a:graphicData uri="http://schemas.openxmlformats.org/drawingml/2006/picture">
                <pic:pic>
                  <pic:nvPicPr>
                    <pic:cNvPr id="0" name="mermaid-32cf937050deb6cc.png"/>
                    <pic:cNvPicPr/>
                  </pic:nvPicPr>
                  <pic:blipFill>
                    <a:blip r:embed="rId29"/>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2" name="Picture 22"/>
            <wp:cNvGraphicFramePr>
              <a:graphicFrameLocks noChangeAspect="1"/>
            </wp:cNvGraphicFramePr>
            <a:graphic>
              <a:graphicData uri="http://schemas.openxmlformats.org/drawingml/2006/picture">
                <pic:pic>
                  <pic:nvPicPr>
                    <pic:cNvPr id="0" name="mermaid-4d19df8175f80777.png"/>
                    <pic:cNvPicPr/>
                  </pic:nvPicPr>
                  <pic:blipFill>
                    <a:blip r:embed="rId30"/>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