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Lean</w:t>
            </w:r>
          </w:p>
        </w:tc>
        <w:tc>
          <w:tcPr>
            <w:tcW w:type="dxa" w:w="7087"/>
          </w:tcPr>
          <w:p>
            <w:r>
              <w:rPr>
                <w:rFonts w:ascii="Times New Roman" w:hAnsi="Times New Roman" w:eastAsia="Times New Roman"/>
                <w:b w:val="0"/>
                <w:i w:val="0"/>
                <w:sz w:val="24"/>
              </w:rPr>
              <w:t>Lean Software Development — phát triển phần mềm tinh gọn (Poppendieck)</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phục vụ nhóm trung tâm giáo dục thương mại tại Việt Nam (Hà Nội, TP. Hồ Chí Minh và các tỉnh lân cận). Về thời gian, phạm vi triển khai kéo dài từ tháng 5/2026 đến hết giai đoạn thử nghiệm tenant (~tháng 9/2026), với hai giáo viên độc lập (một dùng gói miễn phí, một dùng gói premium)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được hoãn sang giai đoạn mở rộng K-12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phát triển hướng kiểm thử (TDD — Test-Driven Development, per Beck 2002), thiết kế hướng miền (DDD — Domain-Driven Design, per Evans 2003), chu trình Plan-Do-Check-Act (PDCA, per Deming 1986) và tư duy tinh gọn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 Application Programming Interface —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(mô hình mô tả kiến trúc phần mềm bốn cấp Context-Container-Component-Code), kết hợp Use Case + Class + ERD (Entity-Relationship Diagram — sơ đồ thực thể-quan hệ)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truyền ngữ cảnh qua JWT — JSON Web Token, kiến trúc REST — Representational State Transfer — 3 tầng) được kiểm chứng qua unit test, integration test và E2E test. Thứ tư, đồ án trình bày kết quả triển khai thực tế trong giai đoạn thử nghiệm tenant kèm các KPI (Key Performance Indicator — chỉ số hiệu suất chính)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mô hình hóa C4 Context + Container, sơ đồ use case, kiến trúc đa tenant single-bucket với defense-in-depth năm lớp.</w:t>
      </w:r>
    </w:p>
    <w:p>
      <w:pPr>
        <w:pStyle w:val="ListBullet"/>
        <w:spacing w:line="288" w:lineRule="auto"/>
        <w:ind w:left="850" w:hanging="283"/>
      </w:pPr>
      <w:r>
        <w:rPr>
          <w:rFonts w:ascii="Times New Roman" w:hAnsi="Times New Roman" w:eastAsia="Times New Roman"/>
          <w:b w:val="0"/>
          <w:i w:val="0"/>
          <w:sz w:val="26"/>
        </w:rPr>
        <w:t>Chương 3 — Phân tích, thiết kế và triển khai hệ thống: triển khai giao diện sản phẩm, đoạn mã đại diện cho các luồng nghiệp vụ then chốt,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Đánh giá kết quả và Kết luận: triển khai cloud AWS giai đoạn thử nghiệm tenant, luồng onboarding người dùng, các KPI đo lường, phạm vi thử nghiệm và đề xuất hướng phát triển tiếp theo.</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Giai đoạn thử nghiệm hỗ trợ email; tích hợp Zalo OA cho phụ huynh là lộ trình giai đoạn vận hành chính thức.</w:t>
      </w:r>
    </w:p>
    <w:p>
      <w:pPr>
        <w:pStyle w:val="Heading3"/>
      </w:pPr>
      <w:r>
        <w:rPr>
          <w:rFonts w:ascii="Times New Roman" w:hAnsi="Times New Roman" w:eastAsia="Times New Roman"/>
          <w:b/>
          <w:color w:val="000000"/>
          <w:sz w:val="28"/>
        </w:rPr>
        <w:t>1.1.2 Phân tích nhóm người dùng đại diện giai đoạn thử nghiệm</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trong giai đoạn thử nghiệm và nhóm Zalo cho cập nhật thường xuyên ở giai đoạn vận hành chính thức;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và tích hợp Zalo ZNS sang các phiên bản sau có rủi ro mất khách so với Mona eLMS và Easy Edu vốn đã có ứng dụng gốc — giải pháp giảm thiểu là giao diện web đáp ứng kết hợp nhóm Zalo trong phiên bản đầu, ưu tiên ứng dụng gốc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hai giáo viên độc lập (một dùng gói miễn phí, một dùng gói trả phí), tập trung kiểm chứng trình hướng dẫn khởi tạo tenant, mô-đun AI Branding, kiến trúc đa tenant và ngưỡng tuân thủ pháp lý cơ bản; phạm vi triển khai trong giai đoạn này không thu phí và chấp nhận chính sách giảm thiểu chi phí hạ tầng. Giai đoạn thanh toán thử nghiệm mở rộng nhóm tenant thử nghiệm lên 30-50 trung tâm với chính sách thu phí giới thiệu thấp hơn giá niêm yết, mục đích chính là kiểm chứng mô hình giá, luồng khởi tạo chính thức và hệ thống thanh toán chuyển khoản kèm đối soát tự động; giai đoạn này tích hợp hóa đơn điện tử (eInvoice) qua hợp tác với nhà cung cấp được Tổng cục Thuế cấp phép. Giai đoạn vận hành chính thức mở cho mọi trung tâm tự đăng ký không qua quy trình mời, đi kèm thỏa thuận mức dịch vụ (SLA — Service Level Agreement) cam kết thời gian hoạt động ≥99,5% và bổ sung các kênh hỗ trợ (trò chuyện trực tuyến, kênh hỗ trợ Zalo OA), ứng dụng di động gốc cho học viên và phụ huynh, đa cổng thanh toán tích hợp. Giai đoạn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 bao gồm trình hướng dẫn khởi tạo cốt lõi, mô-đun AI Branding tự động, quản lý vòng đời tenant đầy đủ và tuân thủ pháp luật Việt Nam (PDPL, Luật An ninh mạng, ngưỡng hóa đơn điện tử). Các giai đoạn thanh toán thử nghiệm, vận hành chính thức và mở rộng sang khối K-12 được trình bày như lộ trình kỹ thuật nhưng không nằm trong phạm vi triển khai thực tế của đề tài. Việc tách giai đoạn này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giai đoạn thử nghiệm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6" name="Picture 6"/>
            <wp:cNvGraphicFramePr>
              <a:graphicFrameLocks noChangeAspect="1"/>
            </wp:cNvGraphicFramePr>
            <a:graphic>
              <a:graphicData uri="http://schemas.openxmlformats.org/drawingml/2006/picture">
                <pic:pic>
                  <pic:nvPicPr>
                    <pic:cNvPr id="0" name="mermaid-f5a7d770a853ce87.png"/>
                    <pic:cNvPicPr/>
                  </pic:nvPicPr>
                  <pic:blipFill>
                    <a:blip r:embed="rId14"/>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pageBreakBefore/>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2.6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domain-plane)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Trong giai đoạn thử nghiệm,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Trong giai đoạn thử nghiệm,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trong giai đoạn thử nghiệm: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giai đoạn tiếp theo gồm: cổng thông tin dành cho phụ huynh (nhóm người dùng đại diện P4), ứng dụng di động gốc (sau giai đoạn thương mại hóa),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pageBreakBefore/>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1" name="Picture 21"/>
            <wp:cNvGraphicFramePr>
              <a:graphicFrameLocks noChangeAspect="1"/>
            </wp:cNvGraphicFramePr>
            <a:graphic>
              <a:graphicData uri="http://schemas.openxmlformats.org/drawingml/2006/picture">
                <pic:pic>
                  <pic:nvPicPr>
                    <pic:cNvPr id="0" name="mermaid-32cf937050deb6cc.png"/>
                    <pic:cNvPicPr/>
                  </pic:nvPicPr>
                  <pic:blipFill>
                    <a:blip r:embed="rId29"/>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2" name="Picture 22"/>
            <wp:cNvGraphicFramePr>
              <a:graphicFrameLocks noChangeAspect="1"/>
            </wp:cNvGraphicFramePr>
            <a:graphic>
              <a:graphicData uri="http://schemas.openxmlformats.org/drawingml/2006/picture">
                <pic:pic>
                  <pic:nvPicPr>
                    <pic:cNvPr id="0" name="mermaid-4d19df8175f80777.png"/>
                    <pic:cNvPicPr/>
                  </pic:nvPicPr>
                  <pic:blipFill>
                    <a:blip r:embed="rId30"/>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giai đoạn mời chính thức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ba nhóm người dùng (giáo viên độc lập, chủ sở hữu trung tâm, quản lý trung tâm); nhóm phụ huynh và học viên thuộc phân khúc K-12 được hoãn sang giai đoạn mở rộng K-12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