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6"/>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NHẬN XÉT CỦA GIẢNG VIÊN HƯỚNG DẪN</w:t>
      </w:r>
    </w:p>
    <w:p>
      <w:pPr>
        <w:spacing w:line="288" w:lineRule="auto"/>
        <w:ind w:firstLine="567"/>
        <w:jc w:val="both"/>
      </w:pPr>
      <w:r>
        <w:rPr>
          <w:rFonts w:ascii="Times New Roman" w:hAnsi="Times New Roman" w:eastAsia="Times New Roman"/>
          <w:b w:val="0"/>
          <w:i w:val="0"/>
          <w:sz w:val="26"/>
        </w:rPr>
        <w:t>Họ và tên giảng viên hướng dẫn: TS. Nguyễn Đức Dư</w:t>
      </w:r>
    </w:p>
    <w:p>
      <w:pPr>
        <w:spacing w:line="288" w:lineRule="auto"/>
        <w:ind w:firstLine="567"/>
        <w:jc w:val="both"/>
      </w:pPr>
      <w:r>
        <w:rPr>
          <w:rFonts w:ascii="Times New Roman" w:hAnsi="Times New Roman" w:eastAsia="Times New Roman"/>
          <w:b w:val="0"/>
          <w:i w:val="0"/>
          <w:sz w:val="26"/>
        </w:rPr>
        <w:t>Đơn vị công tác: Khoa Công nghệ thông tin, Đại học Giao thông Vận tải</w:t>
      </w:r>
    </w:p>
    <w:p>
      <w:pPr>
        <w:spacing w:line="288" w:lineRule="auto"/>
        <w:ind w:firstLine="567"/>
        <w:jc w:val="both"/>
      </w:pPr>
      <w:r>
        <w:rPr>
          <w:rFonts w:ascii="Times New Roman" w:hAnsi="Times New Roman" w:eastAsia="Times New Roman"/>
          <w:b w:val="0"/>
          <w:i w:val="0"/>
          <w:sz w:val="26"/>
        </w:rPr>
        <w:t>Họ và tên sinh viên: Nguyễn Văn Kiệt — Mã số sinh viên: 221230890</w:t>
      </w:r>
    </w:p>
    <w:p>
      <w:pPr>
        <w:spacing w:line="288" w:lineRule="auto"/>
        <w:ind w:firstLine="567"/>
        <w:jc w:val="both"/>
      </w:pPr>
      <w:r>
        <w:rPr>
          <w:rFonts w:ascii="Times New Roman" w:hAnsi="Times New Roman" w:eastAsia="Times New Roman"/>
          <w:b w:val="0"/>
          <w:i w:val="0"/>
          <w:sz w:val="26"/>
        </w:rPr>
        <w:t>Lớp: CNTT1-K63 — Ngành đào tạo: Công nghệ thông tin</w:t>
      </w:r>
    </w:p>
    <w:p>
      <w:pPr>
        <w:spacing w:line="288" w:lineRule="auto"/>
        <w:ind w:firstLine="567"/>
        <w:jc w:val="both"/>
      </w:pPr>
      <w:r>
        <w:rPr>
          <w:rFonts w:ascii="Times New Roman" w:hAnsi="Times New Roman" w:eastAsia="Times New Roman"/>
          <w:b w:val="0"/>
          <w:i w:val="0"/>
          <w:sz w:val="26"/>
        </w:rPr>
        <w:t>Tên đề tài: XÂY DỰNG HỆ THỐNG SAAS CUNG CẤP DỊCH VỤ ĐÀO TẠO</w:t>
      </w:r>
    </w:p>
    <w:p>
      <w:pPr>
        <w:spacing w:before="240"/>
      </w:pPr>
      <w:r>
        <w:rPr>
          <w:rFonts w:ascii="Times New Roman" w:hAnsi="Times New Roman" w:eastAsia="Times New Roman"/>
          <w:b/>
          <w:i w:val="0"/>
          <w:sz w:val="26"/>
        </w:rPr>
        <w:t>Ý kiến nhận xét của giảng viên hướng dẫn:</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360"/>
      </w:pPr>
      <w:r>
        <w:rPr>
          <w:rFonts w:ascii="Times New Roman" w:hAnsi="Times New Roman" w:eastAsia="Times New Roman"/>
          <w:b w:val="0"/>
          <w:i w:val="0"/>
          <w:sz w:val="26"/>
        </w:rPr>
        <w:t>Kết luận: Sinh viên ☐ đủ điều kiện / ☐ chưa đủ điều kiện bảo vệ đồ án tốt nghiệp.</w:t>
      </w:r>
    </w:p>
    <w:p>
      <w:pPr>
        <w:spacing w:before="120"/>
      </w:pPr>
      <w:r>
        <w:rPr>
          <w:rFonts w:ascii="Times New Roman" w:hAnsi="Times New Roman" w:eastAsia="Times New Roman"/>
          <w:b w:val="0"/>
          <w:i w:val="0"/>
          <w:sz w:val="26"/>
        </w:rPr>
        <w:t>Điểm chấm của giảng viên hướng dẫn: ……… / 10 điểm</w:t>
      </w:r>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Giảng viên hướng dẫn</w:t>
      </w:r>
    </w:p>
    <w:p>
      <w:pPr>
        <w:jc w:val="right"/>
      </w:pPr>
      <w:r>
        <w:rPr>
          <w:rFonts w:ascii="Times New Roman" w:hAnsi="Times New Roman" w:eastAsia="Times New Roman"/>
          <w:b w:val="0"/>
          <w:i/>
          <w:sz w:val="26"/>
        </w:rPr>
        <w:t>(Ký và ghi rõ họ tên)</w:t>
      </w:r>
    </w:p>
    <w:p/>
    <w:p/>
    <w:p/>
    <w:p>
      <w:pPr>
        <w:jc w:val="right"/>
      </w:pPr>
      <w:r>
        <w:rPr>
          <w:rFonts w:ascii="Times New Roman" w:hAnsi="Times New Roman" w:eastAsia="Times New Roman"/>
          <w:b/>
          <w:i w:val="0"/>
          <w:sz w:val="26"/>
        </w:rPr>
        <w:t>TS. Nguyễn Đức Dư</w:t>
      </w:r>
    </w:p>
    <w:p>
      <w:r>
        <w:br w:type="page"/>
      </w:r>
    </w:p>
    <w:p>
      <w:pPr>
        <w:spacing w:after="480"/>
        <w:jc w:val="center"/>
      </w:pPr>
      <w:r>
        <w:rPr>
          <w:rFonts w:ascii="Times New Roman" w:hAnsi="Times New Roman" w:eastAsia="Times New Roman"/>
          <w:b/>
          <w:i w:val="0"/>
          <w:sz w:val="32"/>
        </w:rPr>
        <w:t>LỜI CAM ĐOAN</w:t>
      </w:r>
    </w:p>
    <w:p>
      <w:pPr>
        <w:spacing w:line="288" w:lineRule="auto"/>
        <w:ind w:firstLine="567"/>
        <w:jc w:val="both"/>
      </w:pPr>
      <w:r>
        <w:rPr>
          <w:rFonts w:ascii="Times New Roman" w:hAnsi="Times New Roman" w:eastAsia="Times New Roman"/>
          <w:b w:val="0"/>
          <w:i w:val="0"/>
          <w:sz w:val="26"/>
        </w:rPr>
        <w:t>Em xin cam đoan rằng đồ án tốt nghiệp này là công trình nghiên cứu của riêng em, được thực hiện dưới sự hướng dẫn khoa học của TS. Nguyễn Đức Dư. Các số liệu, kết quả và mã nguồn trình bày trong đồ án là trung thực, do em tự xây dựng và kiểm chứng trên hệ thống triển khai thực tế, chưa từng được ai khác công bố trong bất kỳ công trình nghiên cứu nào trước đây.</w:t>
      </w:r>
    </w:p>
    <w:p>
      <w:pPr>
        <w:spacing w:line="288" w:lineRule="auto"/>
        <w:ind w:firstLine="567"/>
        <w:jc w:val="both"/>
      </w:pPr>
      <w:r>
        <w:rPr>
          <w:rFonts w:ascii="Times New Roman" w:hAnsi="Times New Roman" w:eastAsia="Times New Roman"/>
          <w:b w:val="0"/>
          <w:i w:val="0"/>
          <w:sz w:val="26"/>
        </w:rPr>
        <w:t>Em xin cam đoan rằng mọi trích dẫn, tham khảo từ các tài liệu khác đều đã được ghi rõ nguồn gốc tại danh mục tài liệu tham khảo theo chuẩn IEEE. Các đoạn nội dung dẫn lại nguyên văn đều được đặt trong ngoặc kép và có chú dẫn trang cụ thể. Các sơ đồ kiến trúc, biểu đồ và hình minh họa do em tự xây dựng đều được ghi chú nguồn là tác giả tự thiết kế; các hình từ nguồn ngoài đều được dẫn nguồn rõ ràng.</w:t>
      </w:r>
    </w:p>
    <w:p>
      <w:pPr>
        <w:spacing w:line="288" w:lineRule="auto"/>
        <w:ind w:firstLine="567"/>
        <w:jc w:val="both"/>
      </w:pPr>
      <w:r>
        <w:rPr>
          <w:rFonts w:ascii="Times New Roman" w:hAnsi="Times New Roman" w:eastAsia="Times New Roman"/>
          <w:b w:val="0"/>
          <w:i w:val="0"/>
          <w:sz w:val="26"/>
        </w:rPr>
        <w:t>Em xin chịu trách nhiệm hoàn toàn về tính chính xác và trung thực của nội dung đồ án tốt nghiệp này. Nếu phát hiện bất kỳ sự gian lận hay sao chép nào, em xin chịu mọi hình thức kỷ luật theo quy định của Trường Đại học Giao thông Vận tải.</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Pr>
        <w:jc w:val="right"/>
      </w:pPr>
      <w:r>
        <w:rPr>
          <w:rFonts w:ascii="Times New Roman" w:hAnsi="Times New Roman" w:eastAsia="Times New Roman"/>
          <w:b w:val="0"/>
          <w:i/>
          <w:sz w:val="26"/>
        </w:rPr>
        <w:t>(Ký và ghi rõ họ tên)</w:t>
      </w:r>
    </w:p>
    <w:p/>
    <w:p/>
    <w:p/>
    <w:p>
      <w:pPr>
        <w:jc w:val="right"/>
      </w:pPr>
      <w:r>
        <w:rPr>
          <w:rFonts w:ascii="Times New Roman" w:hAnsi="Times New Roman" w:eastAsia="Times New Roman"/>
          <w:b/>
          <w:i w:val="0"/>
          <w:sz w:val="26"/>
        </w:rPr>
        <w:t>Nguyễn Văn Kiệt</w:t>
      </w:r>
    </w:p>
    <w:p>
      <w:r>
        <w:br w:type="page"/>
      </w:r>
    </w:p>
    <w:p>
      <w:pPr>
        <w:spacing w:after="480"/>
        <w:jc w:val="center"/>
      </w:pPr>
      <w:r>
        <w:rPr>
          <w:rFonts w:ascii="Times New Roman" w:hAnsi="Times New Roman" w:eastAsia="Times New Roman"/>
          <w:b/>
          <w:i w:val="0"/>
          <w:sz w:val="32"/>
        </w:rPr>
        <w:t>TÓM TẮT</w:t>
      </w:r>
    </w:p>
    <w:p>
      <w:pPr>
        <w:spacing w:line="288" w:lineRule="auto"/>
        <w:ind w:firstLine="567"/>
        <w:jc w:val="both"/>
      </w:pPr>
      <w:r>
        <w:rPr>
          <w:rFonts w:ascii="Times New Roman" w:hAnsi="Times New Roman" w:eastAsia="Times New Roman"/>
          <w:b w:val="0"/>
          <w:i w:val="0"/>
          <w:sz w:val="26"/>
        </w:rPr>
        <w:t>Đồ án "XÂY DỰNG HỆ THỐNG SAAS CUNG CẤP DỊCH VỤ ĐÀO TẠO" trình bày quá trình xây dựng nền tảng phần mềm dịch vụ (SaaS) đa người dùng (multi-tenant) phục vụ thị trường trung tâm giáo dục Việt Nam. Bài toán xuất phát từ thực trạng phân mảnh của thị trường: hơn 80% trung tâm vừa và nhỏ (1-10 chi nhánh, 100-2.000 học viên) vẫn quản lý vận hành trên Excel hoặc các phần mềm doanh nghiệp không phù hợp về giá và độ phức tạp, trong khi khung pháp lý Việt Nam (PDPL 2023, Luật An ninh mạng 2018, Thông tư 29/2024/TT-BGDĐT) yêu cầu mức tuân thủ cao hơn về bảo vệ dữ liệu cá nhân và minh bạch hoạt động dạy thêm có thu phí.</w:t>
      </w:r>
    </w:p>
    <w:p>
      <w:pPr>
        <w:spacing w:line="288" w:lineRule="auto"/>
        <w:ind w:firstLine="567"/>
        <w:jc w:val="both"/>
      </w:pPr>
      <w:r>
        <w:rPr>
          <w:rFonts w:ascii="Times New Roman" w:hAnsi="Times New Roman" w:eastAsia="Times New Roman"/>
          <w:b w:val="0"/>
          <w:i w:val="0"/>
          <w:sz w:val="26"/>
        </w:rPr>
        <w:t>Đồ án đề xuất kiến trúc nền tảng KiteHub theo mô hình SaaS multi-tenant single-bucket Row-Level Security (RLS) NULL force-fail, kết hợp các pattern industry-standard (defense-in-depth 5 lớp, Outbox Pattern, JWT propagation) với các yêu cầu phi chức năng đặc thù Việt Nam (Vietnamese-first UX, VND format, VietQR/MoMo, niên khóa 9-5). Hệ thống được triển khai trên AWS Singapore Free Tier theo ADR-025, gồm 6 microservice backend, 1 lõi tenant và 2 frontend Next.js. Bộ kiểm thử 3 lớp (unit + integration + E2E) đảm bảo tính đúng đắn của các pattern cốt lõi.</w:t>
      </w:r>
    </w:p>
    <w:p>
      <w:pPr>
        <w:spacing w:line="288" w:lineRule="auto"/>
        <w:ind w:firstLine="567"/>
        <w:jc w:val="both"/>
      </w:pPr>
      <w:r>
        <w:rPr>
          <w:rFonts w:ascii="Times New Roman" w:hAnsi="Times New Roman" w:eastAsia="Times New Roman"/>
          <w:b w:val="0"/>
          <w:i w:val="0"/>
          <w:sz w:val="26"/>
        </w:rPr>
        <w:t>Kết quả giai đoạn thử nghiệm tenant đạt các chỉ số chất lượng: Quality 90/110 B+, Security 93/100 A, Performance 86/100 B+, UI 110.6/128 A — đáp ứng yêu cầu gate ≥80 của giai đoạn thử nghiệm. Đồ án đóng góp ba kết quả khoa học: (1) pattern RLS NULL force-fail cho multi-tenant SaaS giáo dục, (2) phân tích thực nghiệm thị trường edu SaaS Việt Nam với 4 hệ thống tham chiếu, (3) kiến trúc tham chiếu B2B multi-tenant áp dụng phương pháp luận Quality-Driven Development bốn trụ cột (TDD, DDD, PDCA, Lean).</w:t>
      </w:r>
    </w:p>
    <w:p>
      <w:pPr>
        <w:spacing w:before="360"/>
      </w:pPr>
      <w:r>
        <w:rPr>
          <w:rFonts w:ascii="Times New Roman" w:hAnsi="Times New Roman" w:eastAsia="Times New Roman"/>
          <w:b/>
          <w:i w:val="0"/>
          <w:sz w:val="26"/>
        </w:rPr>
        <w:t xml:space="preserve">Từ khóa: </w:t>
      </w:r>
      <w:r>
        <w:rPr>
          <w:rFonts w:ascii="Times New Roman" w:hAnsi="Times New Roman" w:eastAsia="Times New Roman"/>
          <w:b w:val="0"/>
          <w:i/>
          <w:sz w:val="26"/>
        </w:rPr>
        <w:t>SaaS multi-tenant, EdTech Việt Nam, Row-Level Security, AI Branding, Quality-Driven Development, AWS, PDPL 2023, Thông tư 29/2024/TT-BGDĐT.</w:t>
      </w:r>
    </w:p>
    <w:p>
      <w:r>
        <w:br w:type="page"/>
      </w:r>
    </w:p>
    <w:p>
      <w:pPr>
        <w:spacing w:after="480"/>
        <w:jc w:val="center"/>
      </w:pPr>
      <w:r>
        <w:rPr>
          <w:rFonts w:ascii="Times New Roman" w:hAnsi="Times New Roman" w:eastAsia="Times New Roman"/>
          <w:b/>
          <w:i w:val="0"/>
          <w:sz w:val="32"/>
        </w:rPr>
        <w:t>ABSTRACT</w:t>
      </w:r>
    </w:p>
    <w:p>
      <w:pPr>
        <w:spacing w:line="288" w:lineRule="auto"/>
        <w:ind w:firstLine="567"/>
        <w:jc w:val="both"/>
      </w:pPr>
      <w:r>
        <w:rPr>
          <w:rFonts w:ascii="Times New Roman" w:hAnsi="Times New Roman" w:eastAsia="Times New Roman"/>
          <w:b w:val="0"/>
          <w:i w:val="0"/>
          <w:sz w:val="26"/>
        </w:rPr>
        <w:t>This thesis, "KiteHub — A Multi-Tenant SaaS Platform for Education Service Providers", presents the design and implementation of a multi-tenant Software-as-a-Service (SaaS) platform tailored for the Vietnamese education service provider market. The problem stems from market fragmentation: over 80% of small-to-medium education centers (1-10 branches, 100-2,000 students) still rely on Excel or enterprise software that mismatches their price and complexity needs, while the Vietnamese legal framework (PDPL 2023, Cybersecurity Law 2018, Circular 29/2024/TT-BGDĐT) imposes higher compliance demands on personal data protection and paid tutoring transparency.</w:t>
      </w:r>
    </w:p>
    <w:p>
      <w:pPr>
        <w:spacing w:line="288" w:lineRule="auto"/>
        <w:ind w:firstLine="567"/>
        <w:jc w:val="both"/>
      </w:pPr>
      <w:r>
        <w:rPr>
          <w:rFonts w:ascii="Times New Roman" w:hAnsi="Times New Roman" w:eastAsia="Times New Roman"/>
          <w:b w:val="0"/>
          <w:i w:val="0"/>
          <w:sz w:val="26"/>
        </w:rPr>
        <w:t>The thesis proposes the KiteHub platform architecture following a SaaS multi-tenant single-bucket Row-Level Security (RLS) NULL force-fail model, combining industry-standard patterns (5-layer defense-in-depth, Outbox Pattern, JWT propagation) with Vietnam-specific non-functional requirements (Vietnamese-first UX, VND currency format, VietQR/MoMo payment, September-May academic calendar). The system is deployed on AWS Singapore Free Tier per ADR-025, comprising 6 backend microservices, 1 tenant core, and 2 Next.js frontends. A 3-layer testing suite (unit + integration + E2E) ensures correctness of the core patterns.</w:t>
      </w:r>
    </w:p>
    <w:p>
      <w:pPr>
        <w:spacing w:line="288" w:lineRule="auto"/>
        <w:ind w:firstLine="567"/>
        <w:jc w:val="both"/>
      </w:pPr>
      <w:r>
        <w:rPr>
          <w:rFonts w:ascii="Times New Roman" w:hAnsi="Times New Roman" w:eastAsia="Times New Roman"/>
          <w:b w:val="0"/>
          <w:i w:val="0"/>
          <w:sz w:val="26"/>
        </w:rPr>
        <w:t>Beta tenant phase results achieve quality metrics: Quality 90/110 B+, Security 93/100 A, Performance 86/100 B+, UI 110.6/128 A — meeting the ≥80 gate for the beta phase. The thesis contributes three scientific outcomes: (1) the RLS NULL force-fail pattern for multi-tenant education SaaS, (2) empirical analysis of the Vietnamese edu SaaS market against 4 reference systems, (3) a B2B multi-tenant reference architecture applying the four-pillar Quality-Driven Development methodology (TDD, DDD, PDCA, Lean).</w:t>
      </w:r>
    </w:p>
    <w:p>
      <w:pPr>
        <w:spacing w:before="360"/>
      </w:pPr>
      <w:r>
        <w:rPr>
          <w:rFonts w:ascii="Times New Roman" w:hAnsi="Times New Roman" w:eastAsia="Times New Roman"/>
          <w:b/>
          <w:i w:val="0"/>
          <w:sz w:val="26"/>
        </w:rPr>
        <w:t xml:space="preserve">Keywords: </w:t>
      </w:r>
      <w:r>
        <w:rPr>
          <w:rFonts w:ascii="Times New Roman" w:hAnsi="Times New Roman" w:eastAsia="Times New Roman"/>
          <w:b w:val="0"/>
          <w:i/>
          <w:sz w:val="26"/>
        </w:rPr>
        <w:t>SaaS multi-tenant, Vietnamese EdTech, Row-Level Security, AI Branding, Quality-Driven Development, AWS, PDPL 2023, Circular 29/2024/TT-BGDĐT.</w:t>
      </w: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Bên cạnh đó, em xin gửi lời cảm ơn chân thành đến quý thầy cô trong Bộ môn Công nghệ phần mềm và toàn thể giảng viên Khoa Công nghệ thông tin đã nhiệt tình giảng dạy, chia sẻ kinh nghiệm chuyên môn trong suốt bốn năm học, qua đó giúp em xây dựng được tư duy kỹ thuật vững vàng và phương pháp tiếp cận vấn đề có hệ thống — những phẩm chất thiết yếu cho hành trình phát triển nghề nghiệp sau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7"/>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8"/>
          <w:pgSz w:w="11906" w:h="16838"/>
          <w:pgMar w:top="1417" w:right="1134" w:bottom="1417" w:left="1701" w:header="720" w:footer="720" w:gutter="283"/>
          <w:cols w:space="720"/>
          <w:docGrid w:linePitch="360"/>
          <w:pgNumType w:fmt="lowerRoman" w:start="1"/>
        </w:sectPr>
      </w:pPr>
    </w:p>
    <w:p>
      <w:r>
        <w:br w:type="page"/>
      </w: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[24],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thử nghiệm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[18]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[20]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315838"/>
            <wp:docPr id="7" name="Picture 7"/>
            <wp:cNvGraphicFramePr>
              <a:graphicFrameLocks noChangeAspect="1"/>
            </wp:cNvGraphicFramePr>
            <a:graphic>
              <a:graphicData uri="http://schemas.openxmlformats.org/drawingml/2006/picture">
                <pic:pic>
                  <pic:nvPicPr>
                    <pic:cNvPr id="0" name="mermaid-b081d88be72acd8e.png"/>
                    <pic:cNvPicPr/>
                  </pic:nvPicPr>
                  <pic:blipFill>
                    <a:blip r:embed="rId15"/>
                    <a:stretch>
                      <a:fillRect/>
                    </a:stretch>
                  </pic:blipFill>
                  <pic:spPr>
                    <a:xfrm>
                      <a:off x="0" y="0"/>
                      <a:ext cx="5040000" cy="13158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263258"/>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040000" cy="32632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408371"/>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040000" cy="340837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040000" cy="2187258"/>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040000" cy="21872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040000" cy="6294158"/>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040000" cy="315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Luồng khám phá và kích hoạt tenant — bốn bước nối tiếp. (a)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với hero và CTA "Yêu cầu truy cập Beta" → (b)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xml:space="preserve">) với form 4 trường tối thiểu → (c) Trang xác nhận provisioning tenant thành công sau khi nhập claim code 6 chữ số → (d) Dashboard chính của Chủ trung tâm sau lần đăng nhập đầu tiên với 3 KPI card và onboarding checklist 5 bước.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Luồng vận hành nghiệp vụ thường nhật — hai chức năng cốt lõi. (a) Giao diện quản lý lớp học với filter, bulk actions và CTA tạo lớp mới → (b) Giao diện tạo hóa đơn với định dạng VND, preview realtime và các kênh gửi qua email và Zalo.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Luồng điều hành Admin nền tảng — hai công cụ điều hành chính. (a) Preview template email "Beta access approved" với tùy chỉnh biến và rendering desktop/mobile → (b) Trang audit log immutable tuân thủ PDPL Article 11 tamper-proof với filter combo theo loại hành động, admin user và khoảng thời gian.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Kim tự tháp test pyramid áp dụng cho KiteHub Platform — phân bố ba tầng test theo số lượng và thời gian thực thi. </w:t>
      </w: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5244199"/>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040000" cy="524419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045730"/>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040000" cy="204573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thử nghiệm track sáu KPI chính, chia ba category. Category 3 (System Health) tham khảo framework DORA do Forsgren và cộng sự [38,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(yêu cầu mở tenant)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6" name="Picture 26"/>
            <wp:cNvGraphicFramePr>
              <a:graphicFrameLocks noChangeAspect="1"/>
            </wp:cNvGraphicFramePr>
            <a:graphic>
              <a:graphicData uri="http://schemas.openxmlformats.org/drawingml/2006/picture">
                <pic:pic>
                  <pic:nvPicPr>
                    <pic:cNvPr id="0" name="mermaid-c17f0f02f4593ec9.png"/>
                    <pic:cNvPicPr/>
                  </pic:nvPicPr>
                  <pic:blipFill>
                    <a:blip r:embed="rId34"/>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nhóm tenant thử nghiệm tích lũy đủ dữ liệu). Dashboard Business KPI trên Grafana gồm card Tenant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thử nghiệm (sơ bộ)</w:t>
      </w:r>
    </w:p>
    <w:p>
      <w:pPr>
        <w:spacing w:line="288" w:lineRule="auto"/>
        <w:ind w:left="567"/>
        <w:jc w:val="left"/>
      </w:pPr>
      <w:r>
        <w:rPr>
          <w:rFonts w:ascii="Times New Roman" w:hAnsi="Times New Roman" w:eastAsia="Times New Roman"/>
          <w:b w:val="0"/>
          <w:i/>
          <w:color w:val="505050"/>
          <w:sz w:val="26"/>
        </w:rPr>
        <w:t>**Phương pháp đo lường (giai đoạn sơ bộ).** Các số liệu dưới đây là *ước tính / đo sơ bộ* dùng cho mục đích validation kiến trúc giai đoạn thử nghiệm; **chưa thay thế production benchmark**. Tool / N / Date / Env per KPI:</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 **Uptime SLO ≥99,2%:** *ước tính* theo public AWS SLA cho EC2 t3.micro `ap-southeast-1` single-AZ — KHÔNG phải đo thực từ CloudWatch availability metric (nhóm tenant thử nghiệm chưa đủ dữ liệu khoảng thời gian tối thiểu để baseline). Cập nhật khi có ≥30 ngày uptime data.</w:t>
      </w:r>
    </w:p>
    <w:p>
      <w:pPr>
        <w:spacing w:line="288" w:lineRule="auto"/>
        <w:ind w:left="567"/>
        <w:jc w:val="left"/>
      </w:pPr>
      <w:r>
        <w:rPr>
          <w:rFonts w:ascii="Times New Roman" w:hAnsi="Times New Roman" w:eastAsia="Times New Roman"/>
          <w:b w:val="0"/>
          <w:i/>
          <w:color w:val="505050"/>
          <w:sz w:val="26"/>
        </w:rPr>
        <w:t>- **P95 API latency 280-350 ms:** *probe-endpoint sample* — 5 lượt web-probe từ TP.HCM → ALB → `/actuator/health`. Lưu ý: `/actuator/health` là probe endpoint trả về JSON 200 OK đơn giản, KHÔNG đại diện cho controller path nghiệp vụ (DB lookup + tenant context resolve). Sẽ thay bằng production endpoint sampling khi nhóm tenant thử nghiệm active.</w:t>
      </w:r>
    </w:p>
    <w:p>
      <w:pPr>
        <w:spacing w:line="288" w:lineRule="auto"/>
        <w:ind w:left="567"/>
        <w:jc w:val="left"/>
      </w:pPr>
      <w:r>
        <w:rPr>
          <w:rFonts w:ascii="Times New Roman" w:hAnsi="Times New Roman" w:eastAsia="Times New Roman"/>
          <w:b w:val="0"/>
          <w:i/>
          <w:color w:val="505050"/>
          <w:sz w:val="26"/>
        </w:rPr>
        <w:t>- **Lighthouse Performance 92/100:** *single measurement* — Chrome DevTools Lighthouse audit, mobile profile, URL `https://kitehub.me`, Date 2026-05-15, throttling default. Chưa lặp N≥5 để baseline reproducibility — cần lặp + median khi định kỳ benchmark.</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Các KPI Acquisition + Engagement (Signup conversion / Approval rate / Retention / Feature adoption / Crash-free rate) cần cohort tenant đủ lớn để thu thập số liệu — sẽ cập nhật trước defense.</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Ước tính ≥99,2% (theo SLA — xem phương pháp đo lường ở trên)</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Probe-endpoint sample 280-350 ms (xem phương pháp đo lường ở trên)</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Single audit 92/100 (xem phương pháp đo lường ở trên)</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thử nghiệm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thử nghiệm</w:t>
      </w:r>
    </w:p>
    <w:p>
      <w:pPr>
        <w:spacing w:line="288" w:lineRule="auto"/>
        <w:ind w:firstLine="567"/>
        <w:jc w:val="both"/>
      </w:pPr>
      <w:r>
        <w:rPr>
          <w:rFonts w:ascii="Times New Roman" w:hAnsi="Times New Roman" w:eastAsia="Times New Roman"/>
          <w:b w:val="0"/>
          <w:i w:val="0"/>
          <w:sz w:val="26"/>
        </w:rPr>
        <w:t xml:space="preserve">Feature core đã ship trong giai đoạn thử nghiệm bao gồm: kiến trúc multi-tenant với Row-Level Security isolation (Chương 2 §2.3.4); cơ chế beta access invite (mô tả tại 4.2 ở trên); KiteClass core với CRUD cơ bản cho Students, Classes, Grades, Attendance và Payments; AI Branding cho phép tenant tự generate logo và theme color (image generation pipeline tham chiếu Stable Diffusion XL [33], NSFW content moderation gate trước khi publish dùng image classifier Hugging Face [32]);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thử nghiệm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Out of scope giai đoạn thử nghiệm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Tenant thử nghiệm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giai đoạn vận hành chính thức</w:t>
            </w:r>
          </w:p>
        </w:tc>
        <w:tc>
          <w:tcPr>
            <w:tcW w:type="dxa" w:w="2880"/>
          </w:tcPr>
          <w:p>
            <w:r>
              <w:rPr>
                <w:sz w:val="24"/>
              </w:rPr>
            </w:r>
            <w:r>
              <w:rPr>
                <w:rFonts w:ascii="Times New Roman" w:hAnsi="Times New Roman" w:eastAsia="Times New Roman"/>
                <w:b w:val="0"/>
                <w:i w:val="0"/>
                <w:sz w:val="24"/>
              </w:rPr>
              <w:t>User consent explicit + roadmap migrate VN cloud trước giai đoạn vận hành chính thức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thử nghiệm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vận hành chính thức</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nhóm tenant thử nghiệm cung cấp feedback định lượng): outside-in audit pattern chứng tỏ hiệu quả khi persona simulation kết hợp benchmark và failure-mode matrix giúp catch design gap mà brainstorm inside-out thường bỏ sót; Outbox Pattern kết hợp fast-path cân bằng tốt latency và reliability nhờ happy-path publish trực tiếp tới RMQ và dispatcher catch-up khi recovery; và lựa chọn AWS Singapore đã được risk-managed theo lộ trình migrate sang VN cloud trước giai đoạn vận hành chính thức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7" name="Picture 27"/>
            <wp:cNvGraphicFramePr>
              <a:graphicFrameLocks noChangeAspect="1"/>
            </wp:cNvGraphicFramePr>
            <a:graphic>
              <a:graphicData uri="http://schemas.openxmlformats.org/drawingml/2006/picture">
                <pic:pic>
                  <pic:nvPicPr>
                    <pic:cNvPr id="0" name="mermaid-4d4882551b8b02b8.png"/>
                    <pic:cNvPicPr/>
                  </pic:nvPicPr>
                  <pic:blipFill>
                    <a:blip r:embed="rId35"/>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thử nghiệm.</w:t>
      </w:r>
    </w:p>
    <w:p>
      <w:r>
        <w:br w:type="page"/>
      </w:r>
    </w:p>
    <w:p>
      <w:pPr>
        <w:pStyle w:val="Heading1"/>
        <w:spacing w:after="360"/>
        <w:jc w:val="center"/>
      </w:pPr>
      <w:r>
        <w:rPr>
          <w:rFonts w:ascii="Times New Roman" w:hAnsi="Times New Roman" w:eastAsia="Times New Roman"/>
          <w:b/>
          <w:color w:val="00000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em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thanh toán thử nghiệm và vận hành chính thức: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9"/>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header" Target="header1.xml"/><Relationship Id="rId37" Type="http://schemas.openxmlformats.org/officeDocument/2006/relationships/header" Target="header2.xml"/><Relationship Id="rId38" Type="http://schemas.openxmlformats.org/officeDocument/2006/relationships/header" Target="header3.xml"/><Relationship Id="rId39"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