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40"/>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41"/>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42"/>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để duy trì chất lượng mã nguồn và tài liệu trong suốt quá trình phát triển.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Phạm vi triển khai hiện tại của đồ án giới hạn theo hai chiều: không gian và đối tượng. Về không gian, hệ thống triển khai cloud trên AWS Singapore (ap-southeast-1) Free Tier, phục vụ nhóm trung tâm giáo dục thương mại tại Việt Nam (Hà Nội, TP. Hồ Chí Minh và các tỉnh lân cận), với hai giáo viên độc lập (một dùng gói miễn phí, một dùng gói trả phí)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thuộc lộ trình phát triển sau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phát triển hướng kiểm thử (TDD — Test-Driven Development, theo Beck 2002), thiết kế hướng miền (DDD — Domain-Driven Design, theo Evans 2003) và chu trình cải tiến liên tục Plan-Do-Check-Act (PDCA, theo Deming 1986) — tích hợp trong toàn bộ quy trình phát triển nhằm duy trì chất lượng mã nguồn và tài liệu.</w:t>
      </w:r>
    </w:p>
    <w:p>
      <w:pPr>
        <w:pStyle w:val="Heading2"/>
      </w:pPr>
      <w:r>
        <w:rPr>
          <w:rFonts w:ascii="Times New Roman" w:hAnsi="Times New Roman" w:eastAsia="Times New Roman"/>
          <w:b/>
          <w:color w:val="000000"/>
          <w:sz w:val="32"/>
        </w:rPr>
        <w:t>5.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thiết kế kiến trúc tổng thể với mô hình C4 (sơ đồ ngữ cảnh và sơ đồ container), kiến trúc đa tenant single-bucket kết hợp Row-Level Security và phòng thủ chiều sâu năm lớp; thiết kế chi tiết gồm sơ đồ lớp, sơ đồ quan hệ thực thể (ERD), sơ đồ tuần tự, máy trạng thái vòng đời tenant, thiết kế cơ sở dữ liệu và mô hình gói dịch vụ.</w:t>
      </w:r>
    </w:p>
    <w:p>
      <w:pPr>
        <w:pStyle w:val="ListBullet"/>
        <w:spacing w:line="288" w:lineRule="auto"/>
        <w:ind w:left="850" w:hanging="283"/>
      </w:pPr>
      <w:r>
        <w:rPr>
          <w:rFonts w:ascii="Times New Roman" w:hAnsi="Times New Roman" w:eastAsia="Times New Roman"/>
          <w:b w:val="0"/>
          <w:i w:val="0"/>
          <w:sz w:val="26"/>
        </w:rPr>
        <w:t>Chương 3 — Triển khai sản phẩm và kiểm thử hệ thống: công nghệ và công cụ sử dụng, kết quả triển khai giao diện sản phẩm theo ba luồng nghiệp vụ,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Triển khai hạ tầng và kết quả vận hành: triển khai cloud AWS với CI/CD, cấu hình Cloudflare biên, ước tính chi phí, trạng thái triển khai hiện tại và kết quả tương tác người dùng cuối kèm minh chứng sản phẩm.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hiện có trên thị trường, và nhu cầu thực tế từ các nhóm người dùng cuối. Phần khảo sát các hệ thống tham khảo dưới đây phân tích bốn sản phẩm tiêu biểu — BeeClass (ứng dụng gamification quản lý điểm thi đua), cùng ba phần mềm quản lý trung tâm Mona eLMS, Easy Edu và DotB — theo các tiêu chí phân khúc mục tiêu, mức giá, kiến trúc, khả năng tích hợp AI và mức tuân thủ pháp luật Việt Nam. BeeClass được đưa vào như đại diện nhóm công cụ nhẹ — miễn phí phục vụ tương tác lớp học, tương phản với nhóm phần mềm quản lý nghiệp vụ trung tâm.</w:t>
      </w:r>
    </w:p>
    <w:p>
      <w:pPr>
        <w:pStyle w:val="Heading3"/>
      </w:pPr>
      <w:r>
        <w:rPr>
          <w:rFonts w:ascii="Times New Roman" w:hAnsi="Times New Roman" w:eastAsia="Times New Roman"/>
          <w:b/>
          <w:color w:val="000000"/>
          <w:sz w:val="28"/>
        </w:rPr>
        <w:t>1.2.1 BeeClass — ứng dụng gamification quản lý điểm thi đua</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[39] là ứng dụng quản lý điểm thi đua của học sinh phổ biến tại Việt Nam, do nhóm phát triển trong nước vận hành với khẩu hiệu "Lớp học Hạnh phúc". Khác với nhóm phần mềm quản lý trung tâm, BeeClass định vị là công cụ gamification (game hóa) nhẹ cho giáo viên: thầy cô quy ước các tiêu chí thưởng — phạt (hăng hái phát biểu, làm bài đầy đủ, đi học trễ, nói chuyện riêng…) rồi tích/trừ điểm cho học sinh, kèm hình đại diện sinh động nhằm tạo động lực học tập. Theo thông tin công bố trên website chính thức [39] (truy cập ngày 30/05/2026), sản phẩm hướng tới giáo viên chủ nhiệm, lớp tiếng Anh, lớp ngoại khóa và nhóm học trẻ em.</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ứng dụng gamification quản lý điểm thi đua học sinh</w:t>
      </w:r>
    </w:p>
    <w:p>
      <w:pPr>
        <w:spacing w:line="288" w:lineRule="auto"/>
        <w:ind w:firstLine="567"/>
        <w:jc w:val="both"/>
      </w:pPr>
      <w:r>
        <w:rPr>
          <w:rFonts w:ascii="Times New Roman" w:hAnsi="Times New Roman" w:eastAsia="Times New Roman"/>
          <w:b w:val="0"/>
          <w:i/>
          <w:sz w:val="26"/>
        </w:rPr>
        <w:t>Nguồn: https://beeclass.net, truy cập ngày 30/05/2026.</w:t>
      </w:r>
    </w:p>
    <w:p>
      <w:pPr>
        <w:spacing w:line="288" w:lineRule="auto"/>
        <w:ind w:firstLine="567"/>
        <w:jc w:val="both"/>
      </w:pPr>
      <w:r>
        <w:rPr>
          <w:rFonts w:ascii="Times New Roman" w:hAnsi="Times New Roman" w:eastAsia="Times New Roman"/>
          <w:b w:val="0"/>
          <w:i w:val="0"/>
          <w:sz w:val="26"/>
        </w:rPr>
        <w:t xml:space="preserve">Tập tính năng chính của BeeClass gồm: điểm danh từng buổi học (kèm gọi tên ngẫu nhiên), tích điểm thưởng — phạt theo tiêu chí, thống kê thành tích theo tuần/tháng, ghi nhận xét mỗi buổi và cho phụ huynh xem qua liên kết chia sẻ. Thế mạnh là giao diện tiếng Việt đơn giản, đăng nhập bằng tài khoản Gmail dùng ngay trên mọi thiết bị, miễn phí ở mức cơ bản và dễ tương tác với phụ huynh. Tuy nhiên, BeeClass thuộc một phân khúc khác với đề tài: sản phẩm tập trung vào game hóa lớp học, </w:t>
      </w:r>
      <w:r>
        <w:rPr>
          <w:rFonts w:ascii="Times New Roman" w:hAnsi="Times New Roman" w:eastAsia="Times New Roman"/>
          <w:b/>
          <w:i w:val="0"/>
          <w:sz w:val="26"/>
        </w:rPr>
        <w:t>không cung cấp các nghiệp vụ quản lý kinh doanh</w:t>
      </w:r>
      <w:r>
        <w:rPr>
          <w:rFonts w:ascii="Times New Roman" w:hAnsi="Times New Roman" w:eastAsia="Times New Roman"/>
          <w:b w:val="0"/>
          <w:i w:val="0"/>
          <w:sz w:val="26"/>
        </w:rPr>
        <w:t xml:space="preserve"> mà trung tâm và giáo viên dạy thêm cần — không có quản lý học phí, đối soát thanh toán, hóa đơn, báo cáo doanh thu, xếp lịch lớp định kỳ hay quản lý đa chi nhánh. Việc BeeClass được giáo viên đón nhận cho thấy nhu cầu công cụ nhẹ, miễn phí, tự phục vụ; nhưng khoảng trống nghiệp vụ quản lý dạy-thêm vẫn bỏ ngỏ — đây chính là phần đề tài hướng tới.</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1.1 đối chiếu trực tiếp bốn hệ thống tham khảo với hệ thống đề xuất trên các tiêu chí cạnh tranh cốt lõi: phân khúc mục tiêu, khoảng giá, kiến trúc đa tenant, mức độ tự động hóa và khả năng tuân thủ pháp luật Việt Nam.</w:t>
      </w:r>
    </w:p>
    <w:p>
      <w:pPr>
        <w:pStyle w:val="BảngCaption"/>
        <w:spacing w:before="120" w:after="240"/>
        <w:jc w:val="center"/>
      </w:pPr>
      <w:r>
        <w:rPr>
          <w:rFonts w:ascii="Times New Roman" w:hAnsi="Times New Roman" w:eastAsia="Times New Roman"/>
          <w:b/>
          <w:sz w:val="26"/>
        </w:rPr>
        <w:t>Bảng 1.1</w:t>
      </w:r>
      <w:r>
        <w:rPr>
          <w:rFonts w:ascii="Times New Roman" w:hAnsi="Times New Roman" w:eastAsia="Times New Roman"/>
          <w:sz w:val="26"/>
        </w:rPr>
        <w:t>. So sánh bốn hệ thống tham khảo với hệ thống đề xuất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GV cá nhân (gamification)</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Quản lý nghiệp vụ (học phí/doanh thu/lịch)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Miễn phí cơ bản</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Có (Gmail)</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Phát triển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Phát triển sau</w:t>
            </w:r>
          </w:p>
        </w:tc>
      </w:tr>
      <w:tr>
        <w:tc>
          <w:tcPr>
            <w:tcW w:type="dxa" w:w="1440"/>
          </w:tcPr>
          <w:p>
            <w:r>
              <w:rPr>
                <w:sz w:val="24"/>
              </w:rPr>
            </w:r>
            <w:r>
              <w:rPr>
                <w:rFonts w:ascii="Times New Roman" w:hAnsi="Times New Roman" w:eastAsia="Times New Roman"/>
                <w:b w:val="0"/>
                <w:i w:val="0"/>
                <w:sz w:val="24"/>
              </w:rPr>
              <w:t>Tích hợp Zalo (OA + nhóm)</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Thanh toán tích hợp</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Có (VietQR + chuyển khoản)</w:t>
            </w:r>
          </w:p>
        </w:tc>
      </w:tr>
      <w:tr>
        <w:tc>
          <w:tcPr>
            <w:tcW w:type="dxa" w:w="1440"/>
          </w:tcPr>
          <w:p>
            <w:r>
              <w:rPr>
                <w:sz w:val="24"/>
              </w:rPr>
            </w:r>
            <w:r>
              <w:rPr>
                <w:rFonts w:ascii="Times New Roman" w:hAnsi="Times New Roman" w:eastAsia="Times New Roman"/>
                <w:b w:val="0"/>
                <w:i w:val="0"/>
                <w:sz w:val="24"/>
              </w:rPr>
              <w:t>Tuân thủ PDPL 2023 theo thiết kế</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Theo thiết kế (lộ trình bản địa hóa)</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theo mô hình Pool (mô hình hồ chứa dùng chung) của khung tham chiếu AWS Well-Architected SaaS Lens: một cơ sở dữ liệu dùng chung, một schema dùng chung, mỗi bảng nghiệp vụ mang cột định danh tenant (</w:t>
      </w:r>
      <w:r>
        <w:rPr>
          <w:rFonts w:ascii="Times New Roman" w:hAnsi="Times New Roman" w:eastAsia="Times New Roman"/>
          <w:b w:val="0"/>
          <w:i/>
          <w:sz w:val="26"/>
        </w:rPr>
        <w:t>tenant_id</w:t>
      </w:r>
      <w:r>
        <w:rPr>
          <w:rFonts w:ascii="Times New Roman" w:hAnsi="Times New Roman" w:eastAsia="Times New Roman"/>
          <w:b w:val="0"/>
          <w:i w:val="0"/>
          <w:sz w:val="26"/>
        </w:rPr>
        <w:t>) và cơ chế Row-Level Security (RLS, bảo mật ở mức dòng) của PostgreSQL tự động lọc dữ liệu theo từng tenant ngay tại tầng cơ sở dữ liệu. Nhờ chia sẻ một instance cơ sở dữ liệu duy nhất, một trung tâm có thể vận hành nhiều chi nhánh mà không phải cấp phát thêm hạ tầng cho mỗi chi nhánh, qua đó tiết kiệm đáng kể chi phí hạ tầng khi mở rộng so với mô hình đơn tenant của các hệ thống tham khảo.</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phải thuê thiết kế viên cho logo, banner và hero image marketing — một khoản chi phí và khoảng thời gian chờ đáng kể trước khi sẵn sàng vận hành. AI Branding của hệ thống đề xuất tự động sinh các tài nguyên này từ prompt văn bản và màu thương hiệu, qua đó rút ngắn đáng kể thời gian lẫn chi phí chuẩn bị nhận diện thương hiệu so với quy trình thuê ngoài.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theo thiết kế:</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cùng Nghị định 147/2024/NĐ-CP về giao dịch điện tử [34], là các yêu cầu tuân thủ quan trọng cho mọi SaaS xử lý dữ liệu cá nhân tại Việt Nam. Hệ thống đề xuất tiếp cận theo nguyên tắc bảo mật và quyền riêng tư theo thiết kế (privacy-by-design), tích hợp các biện pháp tuân thủ ngay từ kiến trúc ban đầu, phù hợp với khung tuân thủ cho phần mềm dịch vụ xử lý dữ liệu cá nhân tại Việt Nam [35]: cô lập dữ liệu giữa các tenant bằng Row-Level Security, nhật ký kiểm toán bất biến phục vụ truy vết dữ liệu cá nhân, và thu thập sự đồng ý của người dùng ngay tại luồng đăng ký. Ở giai đoạn hiện tại, hệ thống vận hành trên hạ tầng AWS khu vực Singapore do ràng buộc chi phí; lộ trình phát triển sau bao gồm bản địa hóa dữ liệu sang vùng AWS Hà Nội hoặc nhà cung cấp đám mây trong nước nhằm đáp ứng đầy đủ Nghị định 53/2022/NĐ-CP trước khi mở rộng tới quy mô kích hoạt ngưỡng bản địa hóa dữ liệu.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pStyle w:val="Heading3"/>
      </w:pPr>
      <w:r>
        <w:rPr>
          <w:rFonts w:ascii="Times New Roman" w:hAnsi="Times New Roman" w:eastAsia="Times New Roman"/>
          <w:b/>
          <w:color w:val="000000"/>
          <w:sz w:val="28"/>
        </w:rPr>
        <w:t>1.3.3 Phạm vi đề tài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đa 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pPr>
        <w:pStyle w:val="Heading2"/>
      </w:pPr>
      <w:r>
        <w:rPr>
          <w:rFonts w:ascii="Times New Roman" w:hAnsi="Times New Roman" w:eastAsia="Times New Roman"/>
          <w:b/>
          <w:color w:val="000000"/>
          <w:sz w:val="32"/>
        </w:rPr>
        <w:t>1.4 Công nghệ và công cụ sử dụng</w:t>
      </w:r>
    </w:p>
    <w:p>
      <w:pPr>
        <w:pStyle w:val="Heading3"/>
      </w:pPr>
      <w:r>
        <w:rPr>
          <w:rFonts w:ascii="Times New Roman" w:hAnsi="Times New Roman" w:eastAsia="Times New Roman"/>
          <w:b/>
          <w:color w:val="000000"/>
          <w:sz w:val="28"/>
        </w:rPr>
        <w:t>1.4.1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1.4.2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[30] đảm trách xác thực và phân quyền với hỗ trợ OAuth2/JWT [29];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1.4.3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1.4.4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1.4.5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1.5+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§2.3.5)</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chính hiện tại (đối soát thủ công); khung tích hợp cổng VNPay đã sẵn sàng (cổng thanh toán + webhook xác nhận giao dịch); MoMo/ZaloPay ở dạng khung sơ khởi, hoàn thiện theo lộ trình phát triển sau</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Quản trị nền tảng có dashboard doanh thu để xem MRR, tỷ lệ churn (chi tiết endpoint trình bày trong API contract Chương 3)</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OpenAI GPT-4 Vision + DALL-E 3 (môi trường vận hành) hoặc Ollama tự host (môi trường phát triển); quota lưu trong bảng </w:t>
      </w:r>
      <w:r>
        <w:rPr>
          <w:rFonts w:ascii="Times New Roman" w:hAnsi="Times New Roman" w:eastAsia="Times New Roman"/>
          <w:b w:val="0"/>
          <w:i/>
          <w:sz w:val="26"/>
        </w:rPr>
        <w:t>branding_regenerate_usage</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Xác thực DKIM theo tenant (gói PRO) để thư gửi từ domain riêng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thuộc lộ trình phát triển sau</w:t>
      </w:r>
    </w:p>
    <w:p>
      <w:pPr>
        <w:spacing w:line="288" w:lineRule="auto"/>
        <w:ind w:firstLine="567"/>
        <w:jc w:val="both"/>
      </w:pPr>
      <w:r>
        <w:rPr>
          <w:rFonts w:ascii="Times New Roman" w:hAnsi="Times New Roman" w:eastAsia="Times New Roman"/>
          <w:b/>
          <w:i w:val="0"/>
          <w:sz w:val="26"/>
        </w:rPr>
        <w:t>Email giao dịch (KiteHub `kitehub-email`)</w:t>
      </w:r>
    </w:p>
    <w:p>
      <w:pPr>
        <w:pStyle w:val="ListBullet"/>
        <w:spacing w:line="288" w:lineRule="auto"/>
        <w:ind w:left="850" w:hanging="283"/>
      </w:pPr>
      <w:r>
        <w:rPr>
          <w:rFonts w:ascii="Times New Roman" w:hAnsi="Times New Roman" w:eastAsia="Times New Roman"/>
          <w:b w:val="0"/>
          <w:i w:val="0"/>
          <w:sz w:val="26"/>
        </w:rPr>
        <w:t xml:space="preserve">Kênh thông báo trừu tượng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với hai nhà cung cấp cấu hình tĩnh: AWS SES (mặc định môi trường vận hành) và Resend (dự phòng); cơ chế tự động chuyển đổi (failover) khi nhà cung cấp chính lỗi thuộc lộ trình phát triển sau</w:t>
      </w:r>
    </w:p>
    <w:p>
      <w:pPr>
        <w:pStyle w:val="ListBullet"/>
        <w:spacing w:line="288" w:lineRule="auto"/>
        <w:ind w:left="850" w:hanging="283"/>
      </w:pPr>
      <w:r>
        <w:rPr>
          <w:rFonts w:ascii="Times New Roman" w:hAnsi="Times New Roman" w:eastAsia="Times New Roman"/>
          <w:b w:val="0"/>
          <w:i w:val="0"/>
          <w:sz w:val="26"/>
        </w:rPr>
        <w:t>Mẫu email theo tông giọng phù hợp vai trò người nhận (Owner trang trọng, phụ huynh kính ngữ): chào mừng, magic-link kích hoạt, hóa đơn, nhắc thanh toán, thông báo điểm/sự cố</w:t>
      </w:r>
    </w:p>
    <w:p>
      <w:pPr>
        <w:pStyle w:val="ListBullet"/>
        <w:spacing w:line="288" w:lineRule="auto"/>
        <w:ind w:left="850" w:hanging="283"/>
      </w:pPr>
      <w:r>
        <w:rPr>
          <w:rFonts w:ascii="Times New Roman" w:hAnsi="Times New Roman" w:eastAsia="Times New Roman"/>
          <w:b w:val="0"/>
          <w:i w:val="0"/>
          <w:sz w:val="26"/>
        </w:rPr>
        <w:t xml:space="preserve">Gửi bất đồng bộ qua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 tách rời khỏi luồng nghiệp vụ chính để không chặn request người dùng</w:t>
      </w:r>
    </w:p>
    <w:p>
      <w:pPr>
        <w:pStyle w:val="ListBullet"/>
        <w:spacing w:line="288" w:lineRule="auto"/>
        <w:ind w:left="850" w:hanging="283"/>
      </w:pPr>
      <w:r>
        <w:rPr>
          <w:rFonts w:ascii="Times New Roman" w:hAnsi="Times New Roman" w:eastAsia="Times New Roman"/>
          <w:b w:val="0"/>
          <w:i w:val="0"/>
          <w:sz w:val="26"/>
        </w:rPr>
        <w:t xml:space="preserve">Nhật ký gửi lưu bảng </w:t>
      </w:r>
      <w:r>
        <w:rPr>
          <w:rFonts w:ascii="Times New Roman" w:hAnsi="Times New Roman" w:eastAsia="Times New Roman"/>
          <w:b w:val="0"/>
          <w:i/>
          <w:sz w:val="26"/>
        </w:rPr>
        <w:t>email_logs</w:t>
      </w:r>
      <w:r>
        <w:rPr>
          <w:rFonts w:ascii="Times New Roman" w:hAnsi="Times New Roman" w:eastAsia="Times New Roman"/>
          <w:b w:val="0"/>
          <w:i w:val="0"/>
          <w:sz w:val="26"/>
        </w:rPr>
        <w:t xml:space="preserve"> (thuộc </w:t>
      </w:r>
      <w:r>
        <w:rPr>
          <w:rFonts w:ascii="Times New Roman" w:hAnsi="Times New Roman" w:eastAsia="Times New Roman"/>
          <w:b w:val="0"/>
          <w:i/>
          <w:sz w:val="26"/>
        </w:rPr>
        <w:t>kitehub-subscription</w:t>
      </w:r>
      <w:r>
        <w:rPr>
          <w:rFonts w:ascii="Times New Roman" w:hAnsi="Times New Roman" w:eastAsia="Times New Roman"/>
          <w:b w:val="0"/>
          <w:i w:val="0"/>
          <w:sz w:val="26"/>
        </w:rPr>
        <w:t>) phục vụ tra cứu và đối soát tỷ lệ gửi thành công</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từ tệp Excel (.xlsx) qua thư viện Apache POI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theo </w:t>
      </w:r>
      <w:r>
        <w:rPr>
          <w:rFonts w:ascii="Times New Roman" w:hAnsi="Times New Roman" w:eastAsia="Times New Roman"/>
          <w:b w:val="0"/>
          <w:i/>
          <w:sz w:val="26"/>
        </w:rPr>
        <w:t>ClassSession</w:t>
      </w:r>
      <w:r>
        <w:rPr>
          <w:rFonts w:ascii="Times New Roman" w:hAnsi="Times New Roman" w:eastAsia="Times New Roman"/>
          <w:b w:val="0"/>
          <w:i w:val="0"/>
          <w:sz w:val="26"/>
        </w:rPr>
        <w:t xml:space="preserve"> với quy tắc lặp chuẩn RFC 5545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buổi học, trạng thái gồm 5 loại — Có mặt / Vắng / Đi muộn / Có phép / Học bù (</w:t>
      </w:r>
      <w:r>
        <w:rPr>
          <w:rFonts w:ascii="Times New Roman" w:hAnsi="Times New Roman" w:eastAsia="Times New Roman"/>
          <w:b w:val="0"/>
          <w:i/>
          <w:sz w:val="26"/>
        </w:rPr>
        <w:t>PRESENT</w:t>
      </w:r>
      <w:r>
        <w:rPr>
          <w:rFonts w:ascii="Times New Roman" w:hAnsi="Times New Roman" w:eastAsia="Times New Roman"/>
          <w:b w:val="0"/>
          <w:i w:val="0"/>
          <w:sz w:val="26"/>
        </w:rPr>
        <w:t xml:space="preserve"> / </w:t>
      </w:r>
      <w:r>
        <w:rPr>
          <w:rFonts w:ascii="Times New Roman" w:hAnsi="Times New Roman" w:eastAsia="Times New Roman"/>
          <w:b w:val="0"/>
          <w:i/>
          <w:sz w:val="26"/>
        </w:rPr>
        <w:t>ABSENT</w:t>
      </w:r>
      <w:r>
        <w:rPr>
          <w:rFonts w:ascii="Times New Roman" w:hAnsi="Times New Roman" w:eastAsia="Times New Roman"/>
          <w:b w:val="0"/>
          <w:i w:val="0"/>
          <w:sz w:val="26"/>
        </w:rPr>
        <w:t xml:space="preserve"> / </w:t>
      </w:r>
      <w:r>
        <w:rPr>
          <w:rFonts w:ascii="Times New Roman" w:hAnsi="Times New Roman" w:eastAsia="Times New Roman"/>
          <w:b w:val="0"/>
          <w:i/>
          <w:sz w:val="26"/>
        </w:rPr>
        <w:t>LATE</w:t>
      </w:r>
      <w:r>
        <w:rPr>
          <w:rFonts w:ascii="Times New Roman" w:hAnsi="Times New Roman" w:eastAsia="Times New Roman"/>
          <w:b w:val="0"/>
          <w:i w:val="0"/>
          <w:sz w:val="26"/>
        </w:rPr>
        <w:t xml:space="preserve"> / </w:t>
      </w:r>
      <w:r>
        <w:rPr>
          <w:rFonts w:ascii="Times New Roman" w:hAnsi="Times New Roman" w:eastAsia="Times New Roman"/>
          <w:b w:val="0"/>
          <w:i/>
          <w:sz w:val="26"/>
        </w:rPr>
        <w:t>EXCUSED</w:t>
      </w:r>
      <w:r>
        <w:rPr>
          <w:rFonts w:ascii="Times New Roman" w:hAnsi="Times New Roman" w:eastAsia="Times New Roman"/>
          <w:b w:val="0"/>
          <w:i w:val="0"/>
          <w:sz w:val="26"/>
        </w:rPr>
        <w:t xml:space="preserve"> / </w:t>
      </w:r>
      <w:r>
        <w:rPr>
          <w:rFonts w:ascii="Times New Roman" w:hAnsi="Times New Roman" w:eastAsia="Times New Roman"/>
          <w:b w:val="0"/>
          <w:i/>
          <w:sz w:val="26"/>
        </w:rPr>
        <w:t>MAKEUP</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theo thang 0-100 kèm xếp loại chữ (A+/A/B+/...) và quy đổi điểm trung bình hệ 4.0 (</w:t>
      </w:r>
      <w:r>
        <w:rPr>
          <w:rFonts w:ascii="Times New Roman" w:hAnsi="Times New Roman" w:eastAsia="Times New Roman"/>
          <w:b w:val="0"/>
          <w:i/>
          <w:sz w:val="26"/>
        </w:rPr>
        <w:t>grading_scales</w:t>
      </w:r>
      <w:r>
        <w:rPr>
          <w:rFonts w:ascii="Times New Roman" w:hAnsi="Times New Roman" w:eastAsia="Times New Roman"/>
          <w:b w:val="0"/>
          <w:i w:val="0"/>
          <w:sz w:val="26"/>
        </w:rPr>
        <w:t>); xuất học bạ theo học kỳ. Báo cáo tổng hợp cuối kỳ thuộc lộ trình phát triển sau (</w:t>
      </w:r>
      <w:r>
        <w:rPr>
          <w:rFonts w:ascii="Times New Roman" w:hAnsi="Times New Roman" w:eastAsia="Times New Roman"/>
          <w:b w:val="0"/>
          <w:i/>
          <w:sz w:val="26"/>
        </w:rPr>
        <w:t>ReportCardService</w:t>
      </w:r>
      <w:r>
        <w:rPr>
          <w:rFonts w:ascii="Times New Roman" w:hAnsi="Times New Roman" w:eastAsia="Times New Roman"/>
          <w:b w:val="0"/>
          <w:i w:val="0"/>
          <w:sz w:val="26"/>
        </w:rPr>
        <w:t xml:space="preserve"> đã có, expose API là bước kế tiếp)</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xml:space="preserve">), ghi nhận thanh toán thủ công qua chuyển khoản / tiền mặt / VietQR (bảng </w:t>
      </w:r>
      <w:r>
        <w:rPr>
          <w:rFonts w:ascii="Times New Roman" w:hAnsi="Times New Roman" w:eastAsia="Times New Roman"/>
          <w:b w:val="0"/>
          <w:i/>
          <w:sz w:val="26"/>
        </w:rPr>
        <w:t>payment_records</w:t>
      </w:r>
      <w:r>
        <w:rPr>
          <w:rFonts w:ascii="Times New Roman" w:hAnsi="Times New Roman" w:eastAsia="Times New Roman"/>
          <w:b w:val="0"/>
          <w:i w:val="0"/>
          <w:sz w:val="26"/>
        </w:rPr>
        <w:t>). Xuất hóa đơn điện tử VAT theo Thông tư 78/2021/TT-BTC (qua đối tác MISA MeInvoice) thuộc lộ trình phát triển sau</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đã tích hợp Zalo OA</w:t>
      </w:r>
    </w:p>
    <w:p>
      <w:pPr>
        <w:spacing w:line="288" w:lineRule="auto"/>
        <w:ind w:firstLine="567"/>
        <w:jc w:val="both"/>
      </w:pPr>
      <w:r>
        <w:rPr>
          <w:rFonts w:ascii="Times New Roman" w:hAnsi="Times New Roman" w:eastAsia="Times New Roman"/>
          <w:b/>
          <w:i w:val="0"/>
          <w:sz w:val="26"/>
        </w:rPr>
        <w:t>Khóa học &amp; học liệu trực tuyến (KiteClass `kiteclass-core`)</w:t>
      </w:r>
    </w:p>
    <w:p>
      <w:pPr>
        <w:pStyle w:val="ListBullet"/>
        <w:spacing w:line="288" w:lineRule="auto"/>
        <w:ind w:left="850" w:hanging="283"/>
      </w:pPr>
      <w:r>
        <w:rPr>
          <w:rFonts w:ascii="Times New Roman" w:hAnsi="Times New Roman" w:eastAsia="Times New Roman"/>
          <w:b/>
          <w:i w:val="0"/>
          <w:sz w:val="26"/>
        </w:rPr>
        <w:t>Khóa học (Course):</w:t>
      </w:r>
      <w:r>
        <w:rPr>
          <w:rFonts w:ascii="Times New Roman" w:hAnsi="Times New Roman" w:eastAsia="Times New Roman"/>
          <w:b w:val="0"/>
          <w:i w:val="0"/>
          <w:sz w:val="26"/>
        </w:rPr>
        <w:t xml:space="preserve"> Tầng quản lý phía trên Lớp học — một khóa học (ví dụ </w:t>
      </w:r>
      <w:r>
        <w:rPr>
          <w:rFonts w:ascii="Times New Roman" w:hAnsi="Times New Roman" w:eastAsia="Times New Roman"/>
          <w:b w:val="0"/>
          <w:i/>
          <w:sz w:val="26"/>
        </w:rPr>
        <w:t>Khóa Anh ngữ giao tiếp</w:t>
      </w:r>
      <w:r>
        <w:rPr>
          <w:rFonts w:ascii="Times New Roman" w:hAnsi="Times New Roman" w:eastAsia="Times New Roman"/>
          <w:b w:val="0"/>
          <w:i w:val="0"/>
          <w:sz w:val="26"/>
        </w:rPr>
        <w:t>) gồm nhiều lớp triển khai; quản lý chương trình + học phí + lộ trình theo khóa</w:t>
      </w:r>
    </w:p>
    <w:p>
      <w:pPr>
        <w:pStyle w:val="ListBullet"/>
        <w:spacing w:line="288" w:lineRule="auto"/>
        <w:ind w:left="850" w:hanging="283"/>
      </w:pPr>
      <w:r>
        <w:rPr>
          <w:rFonts w:ascii="Times New Roman" w:hAnsi="Times New Roman" w:eastAsia="Times New Roman"/>
          <w:b/>
          <w:i w:val="0"/>
          <w:sz w:val="26"/>
        </w:rPr>
        <w:t>Hệ thống học liệu (LMS):</w:t>
      </w:r>
      <w:r>
        <w:rPr>
          <w:rFonts w:ascii="Times New Roman" w:hAnsi="Times New Roman" w:eastAsia="Times New Roman"/>
          <w:b w:val="0"/>
          <w:i w:val="0"/>
          <w:sz w:val="26"/>
        </w:rPr>
        <w:t xml:space="preserve"> Tổ chức học liệu theo </w:t>
      </w:r>
      <w:r>
        <w:rPr>
          <w:rFonts w:ascii="Times New Roman" w:hAnsi="Times New Roman" w:eastAsia="Times New Roman"/>
          <w:b w:val="0"/>
          <w:i/>
          <w:sz w:val="26"/>
        </w:rPr>
        <w:t>CourseModule</w:t>
      </w:r>
      <w:r>
        <w:rPr>
          <w:rFonts w:ascii="Times New Roman" w:hAnsi="Times New Roman" w:eastAsia="Times New Roman"/>
          <w:b w:val="0"/>
          <w:i w:val="0"/>
          <w:sz w:val="26"/>
        </w:rPr>
        <w:t xml:space="preserve"> → </w:t>
      </w:r>
      <w:r>
        <w:rPr>
          <w:rFonts w:ascii="Times New Roman" w:hAnsi="Times New Roman" w:eastAsia="Times New Roman"/>
          <w:b w:val="0"/>
          <w:i/>
          <w:sz w:val="26"/>
        </w:rPr>
        <w:t>Lesson</w:t>
      </w:r>
      <w:r>
        <w:rPr>
          <w:rFonts w:ascii="Times New Roman" w:hAnsi="Times New Roman" w:eastAsia="Times New Roman"/>
          <w:b w:val="0"/>
          <w:i w:val="0"/>
          <w:sz w:val="26"/>
        </w:rPr>
        <w:t xml:space="preserve"> → </w:t>
      </w:r>
      <w:r>
        <w:rPr>
          <w:rFonts w:ascii="Times New Roman" w:hAnsi="Times New Roman" w:eastAsia="Times New Roman"/>
          <w:b w:val="0"/>
          <w:i/>
          <w:sz w:val="26"/>
        </w:rPr>
        <w:t>LearningResource</w:t>
      </w:r>
      <w:r>
        <w:rPr>
          <w:rFonts w:ascii="Times New Roman" w:hAnsi="Times New Roman" w:eastAsia="Times New Roman"/>
          <w:b w:val="0"/>
          <w:i w:val="0"/>
          <w:sz w:val="26"/>
        </w:rPr>
        <w:t xml:space="preserve">; theo dõi tiến độ học của từng học sinh qua </w:t>
      </w:r>
      <w:r>
        <w:rPr>
          <w:rFonts w:ascii="Times New Roman" w:hAnsi="Times New Roman" w:eastAsia="Times New Roman"/>
          <w:b w:val="0"/>
          <w:i/>
          <w:sz w:val="26"/>
        </w:rPr>
        <w:t>LessonProgress</w:t>
      </w:r>
    </w:p>
    <w:p>
      <w:pPr>
        <w:pStyle w:val="ListBullet"/>
        <w:spacing w:line="288" w:lineRule="auto"/>
        <w:ind w:left="850" w:hanging="283"/>
      </w:pPr>
      <w:r>
        <w:rPr>
          <w:rFonts w:ascii="Times New Roman" w:hAnsi="Times New Roman" w:eastAsia="Times New Roman"/>
          <w:b/>
          <w:i w:val="0"/>
          <w:sz w:val="26"/>
        </w:rPr>
        <w:t>Bài tập &amp; nộp bài (Assignment):</w:t>
      </w:r>
      <w:r>
        <w:rPr>
          <w:rFonts w:ascii="Times New Roman" w:hAnsi="Times New Roman" w:eastAsia="Times New Roman"/>
          <w:b w:val="0"/>
          <w:i w:val="0"/>
          <w:sz w:val="26"/>
        </w:rPr>
        <w:t xml:space="preserve"> Vòng đời giao bài → học sinh nộp bài → giáo viên chấm → trả kết quả (</w:t>
      </w:r>
      <w:r>
        <w:rPr>
          <w:rFonts w:ascii="Times New Roman" w:hAnsi="Times New Roman" w:eastAsia="Times New Roman"/>
          <w:b w:val="0"/>
          <w:i/>
          <w:sz w:val="26"/>
        </w:rPr>
        <w:t>Assignment</w:t>
      </w:r>
      <w:r>
        <w:rPr>
          <w:rFonts w:ascii="Times New Roman" w:hAnsi="Times New Roman" w:eastAsia="Times New Roman"/>
          <w:b w:val="0"/>
          <w:i w:val="0"/>
          <w:sz w:val="26"/>
        </w:rPr>
        <w:t xml:space="preserve"> / </w:t>
      </w:r>
      <w:r>
        <w:rPr>
          <w:rFonts w:ascii="Times New Roman" w:hAnsi="Times New Roman" w:eastAsia="Times New Roman"/>
          <w:b w:val="0"/>
          <w:i/>
          <w:sz w:val="26"/>
        </w:rPr>
        <w:t>Submission</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i w:val="0"/>
          <w:sz w:val="26"/>
        </w:rPr>
        <w:t>Cổng phụ huynh (KiteClass `kiteclass-core`)</w:t>
      </w:r>
    </w:p>
    <w:p>
      <w:pPr>
        <w:pStyle w:val="ListBullet"/>
        <w:spacing w:line="288" w:lineRule="auto"/>
        <w:ind w:left="850" w:hanging="283"/>
      </w:pPr>
      <w:r>
        <w:rPr>
          <w:rFonts w:ascii="Times New Roman" w:hAnsi="Times New Roman" w:eastAsia="Times New Roman"/>
          <w:b/>
          <w:i w:val="0"/>
          <w:sz w:val="26"/>
        </w:rPr>
        <w:t>Mời &amp; xác thực:</w:t>
      </w:r>
      <w:r>
        <w:rPr>
          <w:rFonts w:ascii="Times New Roman" w:hAnsi="Times New Roman" w:eastAsia="Times New Roman"/>
          <w:b w:val="0"/>
          <w:i w:val="0"/>
          <w:sz w:val="26"/>
        </w:rPr>
        <w:t xml:space="preserve"> Giáo viên/trung tâm mời phụ huynh qua liên kết (</w:t>
      </w:r>
      <w:r>
        <w:rPr>
          <w:rFonts w:ascii="Times New Roman" w:hAnsi="Times New Roman" w:eastAsia="Times New Roman"/>
          <w:b w:val="0"/>
          <w:i/>
          <w:sz w:val="26"/>
        </w:rPr>
        <w:t>ParentInvitation</w:t>
      </w:r>
      <w:r>
        <w:rPr>
          <w:rFonts w:ascii="Times New Roman" w:hAnsi="Times New Roman" w:eastAsia="Times New Roman"/>
          <w:b w:val="0"/>
          <w:i w:val="0"/>
          <w:sz w:val="26"/>
        </w:rPr>
        <w:t>); phụ huynh kích hoạt tài khoản truy cập riêng</w:t>
      </w:r>
    </w:p>
    <w:p>
      <w:pPr>
        <w:pStyle w:val="ListBullet"/>
        <w:spacing w:line="288" w:lineRule="auto"/>
        <w:ind w:left="850" w:hanging="283"/>
      </w:pPr>
      <w:r>
        <w:rPr>
          <w:rFonts w:ascii="Times New Roman" w:hAnsi="Times New Roman" w:eastAsia="Times New Roman"/>
          <w:b/>
          <w:i w:val="0"/>
          <w:sz w:val="26"/>
        </w:rPr>
        <w:t>Năm nhóm thông tin con em:</w:t>
      </w:r>
      <w:r>
        <w:rPr>
          <w:rFonts w:ascii="Times New Roman" w:hAnsi="Times New Roman" w:eastAsia="Times New Roman"/>
          <w:b w:val="0"/>
          <w:i w:val="0"/>
          <w:sz w:val="26"/>
        </w:rPr>
        <w:t xml:space="preserve"> điểm số, điểm danh, học phí, hạnh kiểm, học bạ (transcript + điểm trung bình hệ 4.0)</w:t>
      </w:r>
    </w:p>
    <w:p>
      <w:pPr>
        <w:pStyle w:val="ListBullet"/>
        <w:spacing w:line="288" w:lineRule="auto"/>
        <w:ind w:left="850" w:hanging="283"/>
      </w:pPr>
      <w:r>
        <w:rPr>
          <w:rFonts w:ascii="Times New Roman" w:hAnsi="Times New Roman" w:eastAsia="Times New Roman"/>
          <w:b/>
          <w:i w:val="0"/>
          <w:sz w:val="26"/>
        </w:rPr>
        <w:t>Khiếu nại &amp; nhật ký truy cập:</w:t>
      </w:r>
      <w:r>
        <w:rPr>
          <w:rFonts w:ascii="Times New Roman" w:hAnsi="Times New Roman" w:eastAsia="Times New Roman"/>
          <w:b w:val="0"/>
          <w:i w:val="0"/>
          <w:sz w:val="26"/>
        </w:rPr>
        <w:t xml:space="preserve"> phụ huynh gửi phản ánh; mọi truy cập hồ sơ con em được ghi nhật ký (read-audit) phục vụ tuân thủ bảo vệ trẻ em</w:t>
      </w:r>
    </w:p>
    <w:p>
      <w:pPr>
        <w:spacing w:line="288" w:lineRule="auto"/>
        <w:ind w:firstLine="567"/>
        <w:jc w:val="both"/>
      </w:pPr>
      <w:r>
        <w:rPr>
          <w:rFonts w:ascii="Times New Roman" w:hAnsi="Times New Roman" w:eastAsia="Times New Roman"/>
          <w:b/>
          <w:i w:val="0"/>
          <w:sz w:val="26"/>
        </w:rPr>
        <w:t>Tài chính nâng cao (KiteClass `kiteclass-core`)</w:t>
      </w:r>
    </w:p>
    <w:p>
      <w:pPr>
        <w:pStyle w:val="ListBullet"/>
        <w:spacing w:line="288" w:lineRule="auto"/>
        <w:ind w:left="850" w:hanging="283"/>
      </w:pPr>
      <w:r>
        <w:rPr>
          <w:rFonts w:ascii="Times New Roman" w:hAnsi="Times New Roman" w:eastAsia="Times New Roman"/>
          <w:b/>
          <w:i w:val="0"/>
          <w:sz w:val="26"/>
        </w:rPr>
        <w:t>Trả góp học phí (`InstallmentPlan`):</w:t>
      </w:r>
      <w:r>
        <w:rPr>
          <w:rFonts w:ascii="Times New Roman" w:hAnsi="Times New Roman" w:eastAsia="Times New Roman"/>
          <w:b w:val="0"/>
          <w:i w:val="0"/>
          <w:sz w:val="26"/>
        </w:rPr>
        <w:t xml:space="preserve"> chia học phí thành nhiều đợt thanh toán theo lịch</w:t>
      </w:r>
    </w:p>
    <w:p>
      <w:pPr>
        <w:pStyle w:val="ListBullet"/>
        <w:spacing w:line="288" w:lineRule="auto"/>
        <w:ind w:left="850" w:hanging="283"/>
      </w:pPr>
      <w:r>
        <w:rPr>
          <w:rFonts w:ascii="Times New Roman" w:hAnsi="Times New Roman" w:eastAsia="Times New Roman"/>
          <w:b/>
          <w:i w:val="0"/>
          <w:sz w:val="26"/>
        </w:rPr>
        <w:t>Hoàn tiền (`RefundRequest`):</w:t>
      </w:r>
      <w:r>
        <w:rPr>
          <w:rFonts w:ascii="Times New Roman" w:hAnsi="Times New Roman" w:eastAsia="Times New Roman"/>
          <w:b w:val="0"/>
          <w:i w:val="0"/>
          <w:sz w:val="26"/>
        </w:rPr>
        <w:t xml:space="preserve"> quy trình yêu cầu → duyệt → ghi nhận hoàn tiền</w:t>
      </w:r>
    </w:p>
    <w:p>
      <w:pPr>
        <w:pStyle w:val="ListBullet"/>
        <w:spacing w:line="288" w:lineRule="auto"/>
        <w:ind w:left="850" w:hanging="283"/>
      </w:pPr>
      <w:r>
        <w:rPr>
          <w:rFonts w:ascii="Times New Roman" w:hAnsi="Times New Roman" w:eastAsia="Times New Roman"/>
          <w:b/>
          <w:i w:val="0"/>
          <w:sz w:val="26"/>
        </w:rPr>
        <w:t>Lương giáo viên (`Payroll`):</w:t>
      </w:r>
      <w:r>
        <w:rPr>
          <w:rFonts w:ascii="Times New Roman" w:hAnsi="Times New Roman" w:eastAsia="Times New Roman"/>
          <w:b w:val="0"/>
          <w:i w:val="0"/>
          <w:sz w:val="26"/>
        </w:rPr>
        <w:t xml:space="preserve"> tính lương theo buổi dạy/số lớp phụ trách</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 quản trị đăng nhập với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 chi tiết endpoint trình bày trong API contract Chương 3)</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hiện tại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[41].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hiện tại</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(OpenAI API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hiện tại:</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hiện tại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lộ trình phát triển sau: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Hiện tại: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Lộ trình phát triển sau: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lộ trình phát triển sau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Hiện tại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OpenAI GPT-4 Vision + DALL-E 3 cho môi trường vận hành (~$0.04/ảnh DALL-E 3 chất lượng tiêu chuẩn)</w:t>
      </w:r>
    </w:p>
    <w:p>
      <w:pPr>
        <w:pStyle w:val="ListBullet"/>
        <w:spacing w:line="288" w:lineRule="auto"/>
        <w:ind w:left="850" w:hanging="283"/>
      </w:pPr>
      <w:r>
        <w:rPr>
          <w:rFonts w:ascii="Times New Roman" w:hAnsi="Times New Roman" w:eastAsia="Times New Roman"/>
          <w:b/>
          <w:i w:val="0"/>
          <w:sz w:val="26"/>
        </w:rPr>
        <w:t>Tổng chi phí ước tính hiện tại: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Zalo OA đã được tích hợp cho phụ huynh</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523745"/>
            <wp:docPr id="6" name="Picture 6"/>
            <wp:cNvGraphicFramePr>
              <a:graphicFrameLocks noChangeAspect="1"/>
            </wp:cNvGraphicFramePr>
            <a:graphic>
              <a:graphicData uri="http://schemas.openxmlformats.org/drawingml/2006/picture">
                <pic:pic>
                  <pic:nvPicPr>
                    <pic:cNvPr id="0" name="mermaid-12c182812741e49f.png"/>
                    <pic:cNvPicPr/>
                  </pic:nvPicPr>
                  <pic:blipFill>
                    <a:blip r:embed="rId14"/>
                    <a:stretch>
                      <a:fillRect/>
                    </a:stretch>
                  </pic:blipFill>
                  <pic:spPr>
                    <a:xfrm>
                      <a:off x="0" y="0"/>
                      <a:ext cx="5760000" cy="452374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OpenAI GPT-4 Vision + DALL-E 3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3695186"/>
            <wp:docPr id="9" name="Picture 9"/>
            <wp:cNvGraphicFramePr>
              <a:graphicFrameLocks noChangeAspect="1"/>
            </wp:cNvGraphicFramePr>
            <a:graphic>
              <a:graphicData uri="http://schemas.openxmlformats.org/drawingml/2006/picture">
                <pic:pic>
                  <pic:nvPicPr>
                    <pic:cNvPr id="0" name="mermaid-736115bd58496c03.png"/>
                    <pic:cNvPicPr/>
                  </pic:nvPicPr>
                  <pic:blipFill>
                    <a:blip r:embed="rId17"/>
                    <a:stretch>
                      <a:fillRect/>
                    </a:stretch>
                  </pic:blipFill>
                  <pic:spPr>
                    <a:xfrm>
                      <a:off x="0" y="0"/>
                      <a:ext cx="5760000" cy="369518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4178539"/>
            <wp:docPr id="10" name="Picture 10"/>
            <wp:cNvGraphicFramePr>
              <a:graphicFrameLocks noChangeAspect="1"/>
            </wp:cNvGraphicFramePr>
            <a:graphic>
              <a:graphicData uri="http://schemas.openxmlformats.org/drawingml/2006/picture">
                <pic:pic>
                  <pic:nvPicPr>
                    <pic:cNvPr id="0" name="mermaid-992b3a27321a67c1.png"/>
                    <pic:cNvPicPr/>
                  </pic:nvPicPr>
                  <pic:blipFill>
                    <a:blip r:embed="rId18"/>
                    <a:stretch>
                      <a:fillRect/>
                    </a:stretch>
                  </pic:blipFill>
                  <pic:spPr>
                    <a:xfrm>
                      <a:off x="0" y="0"/>
                      <a:ext cx="5760000" cy="417853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So sánh subdomain và tên miền riêng trong cơ chế định tuyến đa tenant</w:t>
      </w:r>
    </w:p>
    <w:p>
      <w:pPr>
        <w:spacing w:before="120" w:after="120"/>
        <w:jc w:val="center"/>
      </w:pPr>
      <w:r>
        <w:drawing>
          <wp:inline xmlns:a="http://schemas.openxmlformats.org/drawingml/2006/main" xmlns:pic="http://schemas.openxmlformats.org/drawingml/2006/picture">
            <wp:extent cx="5760000" cy="3944873"/>
            <wp:docPr id="12" name="Picture 12"/>
            <wp:cNvGraphicFramePr>
              <a:graphicFrameLocks noChangeAspect="1"/>
            </wp:cNvGraphicFramePr>
            <a:graphic>
              <a:graphicData uri="http://schemas.openxmlformats.org/drawingml/2006/picture">
                <pic:pic>
                  <pic:nvPicPr>
                    <pic:cNvPr id="0" name="mermaid-6d2e4b98901515e6.png"/>
                    <pic:cNvPicPr/>
                  </pic:nvPicPr>
                  <pic:blipFill>
                    <a:blip r:embed="rId20"/>
                    <a:stretch>
                      <a:fillRect/>
                    </a:stretch>
                  </pic:blipFill>
                  <pic:spPr>
                    <a:xfrm>
                      <a:off x="0" y="0"/>
                      <a:ext cx="5760000" cy="394487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pStyle w:val="Heading3"/>
      </w:pPr>
      <w:r>
        <w:rPr>
          <w:rFonts w:ascii="Times New Roman" w:hAnsi="Times New Roman" w:eastAsia="Times New Roman"/>
          <w:b/>
          <w:color w:val="000000"/>
          <w:sz w:val="28"/>
        </w:rPr>
        <w:t>2.3.1 Class Diagram</w:t>
      </w:r>
    </w:p>
    <w:p>
      <w:pPr>
        <w:spacing w:line="288" w:lineRule="auto"/>
        <w:ind w:firstLine="567"/>
        <w:jc w:val="both"/>
      </w:pPr>
      <w:r>
        <w:rPr>
          <w:rFonts w:ascii="Times New Roman" w:hAnsi="Times New Roman" w:eastAsia="Times New Roman"/>
          <w:b w:val="0"/>
          <w:i w:val="0"/>
          <w:sz w:val="26"/>
        </w:rPr>
        <w:t>Sơ đồ lớp UML mô tả các entity nghiệp vụ cùng phương thức hành vi runtime, tách theo hai mặt phẳng kiến trúc đa tenant: mặt phẳng điều khiển (control-plane) thuộc cụm KiteHub quản lý vòng đời tenant, và mặt phẳng nghiệp vụ (domain-plane) thuộc cụm KiteClass phục vụ giáo dục. Hình 2.5a trình bày các lớp trọng tâm của KiteHub — nơi tập trung đóng góp đặc thù của đồ án (cấp phát tenant, đăng ký dịch vụ, AI Branding, tuân thủ PDPL); Hình 2.5b trình bày các lớp nghiệp vụ giáo dục đại diện của KiteClass.</w:t>
      </w:r>
    </w:p>
    <w:p>
      <w:pPr>
        <w:spacing w:before="120" w:after="120"/>
        <w:jc w:val="center"/>
      </w:pPr>
      <w:r>
        <w:drawing>
          <wp:inline xmlns:a="http://schemas.openxmlformats.org/drawingml/2006/main" xmlns:pic="http://schemas.openxmlformats.org/drawingml/2006/picture">
            <wp:extent cx="5760000" cy="5347782"/>
            <wp:docPr id="13" name="Picture 13"/>
            <wp:cNvGraphicFramePr>
              <a:graphicFrameLocks noChangeAspect="1"/>
            </wp:cNvGraphicFramePr>
            <a:graphic>
              <a:graphicData uri="http://schemas.openxmlformats.org/drawingml/2006/picture">
                <pic:pic>
                  <pic:nvPicPr>
                    <pic:cNvPr id="0" name="mermaid-c448a433fad819b6.png"/>
                    <pic:cNvPicPr/>
                  </pic:nvPicPr>
                  <pic:blipFill>
                    <a:blip r:embed="rId21"/>
                    <a:stretch>
                      <a:fillRect/>
                    </a:stretch>
                  </pic:blipFill>
                  <pic:spPr>
                    <a:xfrm>
                      <a:off x="0" y="0"/>
                      <a:ext cx="5760000" cy="534778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2.5a.</w:t>
      </w:r>
      <w:r>
        <w:rPr>
          <w:rFonts w:ascii="Times New Roman" w:hAnsi="Times New Roman" w:eastAsia="Times New Roman"/>
          <w:b w:val="0"/>
          <w:i w:val="0"/>
          <w:sz w:val="26"/>
        </w:rPr>
        <w:t xml:space="preserve"> Class diagram cụm KiteHub control-plane — vòng đời tenant, đăng ký dịch vụ, AI Branding, tuân thủ PDPL.</w:t>
      </w:r>
    </w:p>
    <w:p>
      <w:pPr>
        <w:spacing w:before="120" w:after="120"/>
        <w:jc w:val="center"/>
      </w:pPr>
      <w:r>
        <w:drawing>
          <wp:inline xmlns:a="http://schemas.openxmlformats.org/drawingml/2006/main" xmlns:pic="http://schemas.openxmlformats.org/drawingml/2006/picture">
            <wp:extent cx="5730367" cy="6480000"/>
            <wp:docPr id="14" name="Picture 14"/>
            <wp:cNvGraphicFramePr>
              <a:graphicFrameLocks noChangeAspect="1"/>
            </wp:cNvGraphicFramePr>
            <a:graphic>
              <a:graphicData uri="http://schemas.openxmlformats.org/drawingml/2006/picture">
                <pic:pic>
                  <pic:nvPicPr>
                    <pic:cNvPr id="0" name="mermaid-52bd3b0ca51195aa.png"/>
                    <pic:cNvPicPr/>
                  </pic:nvPicPr>
                  <pic:blipFill>
                    <a:blip r:embed="rId22"/>
                    <a:stretch>
                      <a:fillRect/>
                    </a:stretch>
                  </pic:blipFill>
                  <pic:spPr>
                    <a:xfrm>
                      <a:off x="0" y="0"/>
                      <a:ext cx="5730367"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2.5b.</w:t>
      </w:r>
      <w:r>
        <w:rPr>
          <w:rFonts w:ascii="Times New Roman" w:hAnsi="Times New Roman" w:eastAsia="Times New Roman"/>
          <w:b w:val="0"/>
          <w:i w:val="0"/>
          <w:sz w:val="26"/>
        </w:rPr>
        <w:t xml:space="preserve"> Class diagram cụm KiteClass domain — entity giáo dục đại diện (học sinh, khoá học, lớp, đăng ký, điểm, điểm danh).</w:t>
      </w:r>
    </w:p>
    <w:p>
      <w:pPr>
        <w:spacing w:line="288" w:lineRule="auto"/>
        <w:ind w:firstLine="567"/>
        <w:jc w:val="both"/>
      </w:pPr>
      <w:r>
        <w:rPr>
          <w:rFonts w:ascii="Times New Roman" w:hAnsi="Times New Roman" w:eastAsia="Times New Roman"/>
          <w:b w:val="0"/>
          <w:i w:val="0"/>
          <w:sz w:val="26"/>
        </w:rPr>
        <w:t xml:space="preserve">Sơ đồ lớp nhấn vào hành vi runtime: </w:t>
      </w:r>
      <w:r>
        <w:rPr>
          <w:rFonts w:ascii="Times New Roman" w:hAnsi="Times New Roman" w:eastAsia="Times New Roman"/>
          <w:b w:val="0"/>
          <w:i/>
          <w:sz w:val="26"/>
        </w:rPr>
        <w:t>Instance.provision()</w:t>
      </w:r>
      <w:r>
        <w:rPr>
          <w:rFonts w:ascii="Times New Roman" w:hAnsi="Times New Roman" w:eastAsia="Times New Roman"/>
          <w:b w:val="0"/>
          <w:i w:val="0"/>
          <w:sz w:val="26"/>
        </w:rPr>
        <w:t xml:space="preserve"> khởi tạo tenant khi quản trị duyệt yêu cầu beta; </w:t>
      </w:r>
      <w:r>
        <w:rPr>
          <w:rFonts w:ascii="Times New Roman" w:hAnsi="Times New Roman" w:eastAsia="Times New Roman"/>
          <w:b w:val="0"/>
          <w:i/>
          <w:sz w:val="26"/>
        </w:rPr>
        <w:t>Instance.suspend()</w:t>
      </w:r>
      <w:r>
        <w:rPr>
          <w:rFonts w:ascii="Times New Roman" w:hAnsi="Times New Roman" w:eastAsia="Times New Roman"/>
          <w:b w:val="0"/>
          <w:i w:val="0"/>
          <w:sz w:val="26"/>
        </w:rPr>
        <w:t xml:space="preserve"> gọi khi thanh toán thất bại quá hạn ân hạn; </w:t>
      </w:r>
      <w:r>
        <w:rPr>
          <w:rFonts w:ascii="Times New Roman" w:hAnsi="Times New Roman" w:eastAsia="Times New Roman"/>
          <w:b w:val="0"/>
          <w:i/>
          <w:sz w:val="26"/>
        </w:rPr>
        <w:t>Instance.cancel()</w:t>
      </w:r>
      <w:r>
        <w:rPr>
          <w:rFonts w:ascii="Times New Roman" w:hAnsi="Times New Roman" w:eastAsia="Times New Roman"/>
          <w:b w:val="0"/>
          <w:i w:val="0"/>
          <w:sz w:val="26"/>
        </w:rPr>
        <w:t xml:space="preserve"> đánh dấu off-boarding sau cửa sổ lưu giữ 7 ngày; </w:t>
      </w:r>
      <w:r>
        <w:rPr>
          <w:rFonts w:ascii="Times New Roman" w:hAnsi="Times New Roman" w:eastAsia="Times New Roman"/>
          <w:b w:val="0"/>
          <w:i/>
          <w:sz w:val="26"/>
        </w:rPr>
        <w:t>Subscription.renew()</w:t>
      </w:r>
      <w:r>
        <w:rPr>
          <w:rFonts w:ascii="Times New Roman" w:hAnsi="Times New Roman" w:eastAsia="Times New Roman"/>
          <w:b w:val="0"/>
          <w:i w:val="0"/>
          <w:sz w:val="26"/>
        </w:rPr>
        <w:t xml:space="preserve"> tự gia hạn hằng tháng; </w:t>
      </w:r>
      <w:r>
        <w:rPr>
          <w:rFonts w:ascii="Times New Roman" w:hAnsi="Times New Roman" w:eastAsia="Times New Roman"/>
          <w:b w:val="0"/>
          <w:i/>
          <w:sz w:val="26"/>
        </w:rPr>
        <w:t>BetaAccessRequest.approve()</w:t>
      </w:r>
      <w:r>
        <w:rPr>
          <w:rFonts w:ascii="Times New Roman" w:hAnsi="Times New Roman" w:eastAsia="Times New Roman"/>
          <w:b w:val="0"/>
          <w:i w:val="0"/>
          <w:sz w:val="26"/>
        </w:rPr>
        <w:t xml:space="preserve"> chuyển yêu cầu beta thành tenant. Ba entity vòng đời (</w:t>
      </w:r>
      <w:r>
        <w:rPr>
          <w:rFonts w:ascii="Times New Roman" w:hAnsi="Times New Roman" w:eastAsia="Times New Roman"/>
          <w:b w:val="0"/>
          <w:i/>
          <w:sz w:val="26"/>
        </w:rPr>
        <w:t>Instance</w:t>
      </w:r>
      <w:r>
        <w:rPr>
          <w:rFonts w:ascii="Times New Roman" w:hAnsi="Times New Roman" w:eastAsia="Times New Roman"/>
          <w:b w:val="0"/>
          <w:i w:val="0"/>
          <w:sz w:val="26"/>
        </w:rPr>
        <w:t xml:space="preserve">, </w:t>
      </w:r>
      <w:r>
        <w:rPr>
          <w:rFonts w:ascii="Times New Roman" w:hAnsi="Times New Roman" w:eastAsia="Times New Roman"/>
          <w:b w:val="0"/>
          <w:i/>
          <w:sz w:val="26"/>
        </w:rPr>
        <w:t>User</w:t>
      </w:r>
      <w:r>
        <w:rPr>
          <w:rFonts w:ascii="Times New Roman" w:hAnsi="Times New Roman" w:eastAsia="Times New Roman"/>
          <w:b w:val="0"/>
          <w:i w:val="0"/>
          <w:sz w:val="26"/>
        </w:rPr>
        <w:t xml:space="preserve">, </w:t>
      </w:r>
      <w:r>
        <w:rPr>
          <w:rFonts w:ascii="Times New Roman" w:hAnsi="Times New Roman" w:eastAsia="Times New Roman"/>
          <w:b w:val="0"/>
          <w:i/>
          <w:sz w:val="26"/>
        </w:rPr>
        <w:t>Subscription</w:t>
      </w:r>
      <w:r>
        <w:rPr>
          <w:rFonts w:ascii="Times New Roman" w:hAnsi="Times New Roman" w:eastAsia="Times New Roman"/>
          <w:b w:val="0"/>
          <w:i w:val="0"/>
          <w:sz w:val="26"/>
        </w:rPr>
        <w:t xml:space="preserve">) kế thừa </w:t>
      </w:r>
      <w:r>
        <w:rPr>
          <w:rFonts w:ascii="Times New Roman" w:hAnsi="Times New Roman" w:eastAsia="Times New Roman"/>
          <w:b w:val="0"/>
          <w:i/>
          <w:sz w:val="26"/>
        </w:rPr>
        <w:t>BaseEntity</w:t>
      </w:r>
      <w:r>
        <w:rPr>
          <w:rFonts w:ascii="Times New Roman" w:hAnsi="Times New Roman" w:eastAsia="Times New Roman"/>
          <w:b w:val="0"/>
          <w:i w:val="0"/>
          <w:sz w:val="26"/>
        </w:rPr>
        <w:t xml:space="preserve"> cung cấp các cột audit chung (</w:t>
      </w:r>
      <w:r>
        <w:rPr>
          <w:rFonts w:ascii="Times New Roman" w:hAnsi="Times New Roman" w:eastAsia="Times New Roman"/>
          <w:b w:val="0"/>
          <w:i/>
          <w:sz w:val="26"/>
        </w:rPr>
        <w:t>createdAt</w:t>
      </w:r>
      <w:r>
        <w:rPr>
          <w:rFonts w:ascii="Times New Roman" w:hAnsi="Times New Roman" w:eastAsia="Times New Roman"/>
          <w:b w:val="0"/>
          <w:i w:val="0"/>
          <w:sz w:val="26"/>
        </w:rPr>
        <w:t xml:space="preserve">, </w:t>
      </w:r>
      <w:r>
        <w:rPr>
          <w:rFonts w:ascii="Times New Roman" w:hAnsi="Times New Roman" w:eastAsia="Times New Roman"/>
          <w:b w:val="0"/>
          <w:i/>
          <w:sz w:val="26"/>
        </w:rPr>
        <w:t>updatedAt</w:t>
      </w:r>
      <w:r>
        <w:rPr>
          <w:rFonts w:ascii="Times New Roman" w:hAnsi="Times New Roman" w:eastAsia="Times New Roman"/>
          <w:b w:val="0"/>
          <w:i w:val="0"/>
          <w:sz w:val="26"/>
        </w:rPr>
        <w:t xml:space="preserve">, </w:t>
      </w:r>
      <w:r>
        <w:rPr>
          <w:rFonts w:ascii="Times New Roman" w:hAnsi="Times New Roman" w:eastAsia="Times New Roman"/>
          <w:b w:val="0"/>
          <w:i/>
          <w:sz w:val="26"/>
        </w:rPr>
        <w:t>deleted</w:t>
      </w:r>
      <w:r>
        <w:rPr>
          <w:rFonts w:ascii="Times New Roman" w:hAnsi="Times New Roman" w:eastAsia="Times New Roman"/>
          <w:b w:val="0"/>
          <w:i w:val="0"/>
          <w:sz w:val="26"/>
        </w:rPr>
        <w:t xml:space="preserve"> cho xoá mềm). Mọi entity đều mang cột định danh tenant (</w:t>
      </w:r>
      <w:r>
        <w:rPr>
          <w:rFonts w:ascii="Times New Roman" w:hAnsi="Times New Roman" w:eastAsia="Times New Roman"/>
          <w:b w:val="0"/>
          <w:i/>
          <w:sz w:val="26"/>
        </w:rPr>
        <w:t>instanceId</w:t>
      </w:r>
      <w:r>
        <w:rPr>
          <w:rFonts w:ascii="Times New Roman" w:hAnsi="Times New Roman" w:eastAsia="Times New Roman"/>
          <w:b w:val="0"/>
          <w:i w:val="0"/>
          <w:sz w:val="26"/>
        </w:rPr>
        <w:t>/</w:t>
      </w:r>
      <w:r>
        <w:rPr>
          <w:rFonts w:ascii="Times New Roman" w:hAnsi="Times New Roman" w:eastAsia="Times New Roman"/>
          <w:b w:val="0"/>
          <w:i/>
          <w:sz w:val="26"/>
        </w:rPr>
        <w:t>tenantId</w:t>
      </w:r>
      <w:r>
        <w:rPr>
          <w:rFonts w:ascii="Times New Roman" w:hAnsi="Times New Roman" w:eastAsia="Times New Roman"/>
          <w:b w:val="0"/>
          <w:i w:val="0"/>
          <w:sz w:val="26"/>
        </w:rPr>
        <w:t xml:space="preserve"> UUID) — khoá ngoại bắt buộc cho chính sách RLS PostgreSQL mô tả ở §2.2.4. Hai cụm chia sẻ chung khoá tenant nhưng thuộc hai schema tách biệt (</w:t>
      </w:r>
      <w:r>
        <w:rPr>
          <w:rFonts w:ascii="Times New Roman" w:hAnsi="Times New Roman" w:eastAsia="Times New Roman"/>
          <w:b w:val="0"/>
          <w:i/>
          <w:sz w:val="26"/>
        </w:rPr>
        <w:t>kitehub</w:t>
      </w:r>
      <w:r>
        <w:rPr>
          <w:rFonts w:ascii="Times New Roman" w:hAnsi="Times New Roman" w:eastAsia="Times New Roman"/>
          <w:b w:val="0"/>
          <w:i w:val="0"/>
          <w:sz w:val="26"/>
        </w:rPr>
        <w:t xml:space="preserve"> và </w:t>
      </w:r>
      <w:r>
        <w:rPr>
          <w:rFonts w:ascii="Times New Roman" w:hAnsi="Times New Roman" w:eastAsia="Times New Roman"/>
          <w:b w:val="0"/>
          <w:i/>
          <w:sz w:val="26"/>
        </w:rPr>
        <w:t>kiteclass_shared</w:t>
      </w:r>
      <w:r>
        <w:rPr>
          <w:rFonts w:ascii="Times New Roman" w:hAnsi="Times New Roman" w:eastAsia="Times New Roman"/>
          <w:b w:val="0"/>
          <w:i w:val="0"/>
          <w:sz w:val="26"/>
        </w:rPr>
        <w:t>) như trình bày ở §2.3.3.</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vật lý — tập trung vào khoá chính (PK), khoá ngoại (FK), cardinality giữa các bảng và bảng nối (junction) — khác với class diagram §2.3.1 vốn tập trung vào hành vi runtime và phương thức. ERD cũng được tách theo hai cụm tương ứng hai schema: Hình 2.6a cho cụm KiteHub control-plane, Hình 2.6b cho cụm KiteClass domain.</w:t>
      </w:r>
    </w:p>
    <w:p>
      <w:pPr>
        <w:spacing w:before="120" w:after="120"/>
        <w:jc w:val="center"/>
      </w:pPr>
      <w:r>
        <w:drawing>
          <wp:inline xmlns:a="http://schemas.openxmlformats.org/drawingml/2006/main" xmlns:pic="http://schemas.openxmlformats.org/drawingml/2006/picture">
            <wp:extent cx="5760000" cy="2700644"/>
            <wp:docPr id="15" name="Picture 15"/>
            <wp:cNvGraphicFramePr>
              <a:graphicFrameLocks noChangeAspect="1"/>
            </wp:cNvGraphicFramePr>
            <a:graphic>
              <a:graphicData uri="http://schemas.openxmlformats.org/drawingml/2006/picture">
                <pic:pic>
                  <pic:nvPicPr>
                    <pic:cNvPr id="0" name="mermaid-3bbb19c305e34691.png"/>
                    <pic:cNvPicPr/>
                  </pic:nvPicPr>
                  <pic:blipFill>
                    <a:blip r:embed="rId23"/>
                    <a:stretch>
                      <a:fillRect/>
                    </a:stretch>
                  </pic:blipFill>
                  <pic:spPr>
                    <a:xfrm>
                      <a:off x="0" y="0"/>
                      <a:ext cx="5760000" cy="27006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2.6a.</w:t>
      </w:r>
      <w:r>
        <w:rPr>
          <w:rFonts w:ascii="Times New Roman" w:hAnsi="Times New Roman" w:eastAsia="Times New Roman"/>
          <w:b w:val="0"/>
          <w:i w:val="0"/>
          <w:sz w:val="26"/>
        </w:rPr>
        <w:t xml:space="preserve"> ERD cụm KiteHub control-plane — </w:t>
      </w:r>
      <w:r>
        <w:rPr>
          <w:rFonts w:ascii="Times New Roman" w:hAnsi="Times New Roman" w:eastAsia="Times New Roman"/>
          <w:b w:val="0"/>
          <w:i/>
          <w:sz w:val="26"/>
        </w:rPr>
        <w:t>INSTANCES</w:t>
      </w:r>
      <w:r>
        <w:rPr>
          <w:rFonts w:ascii="Times New Roman" w:hAnsi="Times New Roman" w:eastAsia="Times New Roman"/>
          <w:b w:val="0"/>
          <w:i w:val="0"/>
          <w:sz w:val="26"/>
        </w:rPr>
        <w:t xml:space="preserve"> là bảng gốc (PK </w:t>
      </w:r>
      <w:r>
        <w:rPr>
          <w:rFonts w:ascii="Times New Roman" w:hAnsi="Times New Roman" w:eastAsia="Times New Roman"/>
          <w:b w:val="0"/>
          <w:i/>
          <w:sz w:val="26"/>
        </w:rPr>
        <w:t>id</w:t>
      </w:r>
      <w:r>
        <w:rPr>
          <w:rFonts w:ascii="Times New Roman" w:hAnsi="Times New Roman" w:eastAsia="Times New Roman"/>
          <w:b w:val="0"/>
          <w:i w:val="0"/>
          <w:sz w:val="26"/>
        </w:rPr>
        <w:t xml:space="preserve"> UUID), quan hệ 1-1 với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và 1-N tới các bảng còn lại.</w:t>
      </w:r>
    </w:p>
    <w:p>
      <w:pPr>
        <w:spacing w:before="120" w:after="120"/>
        <w:jc w:val="center"/>
      </w:pPr>
      <w:r>
        <w:drawing>
          <wp:inline xmlns:a="http://schemas.openxmlformats.org/drawingml/2006/main" xmlns:pic="http://schemas.openxmlformats.org/drawingml/2006/picture">
            <wp:extent cx="5760000" cy="4836923"/>
            <wp:docPr id="16" name="Picture 16"/>
            <wp:cNvGraphicFramePr>
              <a:graphicFrameLocks noChangeAspect="1"/>
            </wp:cNvGraphicFramePr>
            <a:graphic>
              <a:graphicData uri="http://schemas.openxmlformats.org/drawingml/2006/picture">
                <pic:pic>
                  <pic:nvPicPr>
                    <pic:cNvPr id="0" name="mermaid-c5cd04442860d5a1.png"/>
                    <pic:cNvPicPr/>
                  </pic:nvPicPr>
                  <pic:blipFill>
                    <a:blip r:embed="rId24"/>
                    <a:stretch>
                      <a:fillRect/>
                    </a:stretch>
                  </pic:blipFill>
                  <pic:spPr>
                    <a:xfrm>
                      <a:off x="0" y="0"/>
                      <a:ext cx="5760000" cy="483692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2.6b.</w:t>
      </w:r>
      <w:r>
        <w:rPr>
          <w:rFonts w:ascii="Times New Roman" w:hAnsi="Times New Roman" w:eastAsia="Times New Roman"/>
          <w:b w:val="0"/>
          <w:i w:val="0"/>
          <w:sz w:val="26"/>
        </w:rPr>
        <w:t xml:space="preserve"> ERD cụm KiteClass domain — bảng nối </w:t>
      </w:r>
      <w:r>
        <w:rPr>
          <w:rFonts w:ascii="Times New Roman" w:hAnsi="Times New Roman" w:eastAsia="Times New Roman"/>
          <w:b w:val="0"/>
          <w:i/>
          <w:sz w:val="26"/>
        </w:rPr>
        <w:t>ENROLLMENTS</w:t>
      </w:r>
      <w:r>
        <w:rPr>
          <w:rFonts w:ascii="Times New Roman" w:hAnsi="Times New Roman" w:eastAsia="Times New Roman"/>
          <w:b w:val="0"/>
          <w:i w:val="0"/>
          <w:sz w:val="26"/>
        </w:rPr>
        <w:t xml:space="preserve"> phân giải quan hệ nhiều-nhiều giữa </w:t>
      </w:r>
      <w:r>
        <w:rPr>
          <w:rFonts w:ascii="Times New Roman" w:hAnsi="Times New Roman" w:eastAsia="Times New Roman"/>
          <w:b w:val="0"/>
          <w:i/>
          <w:sz w:val="26"/>
        </w:rPr>
        <w:t>STUDENTS</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val="0"/>
          <w:i w:val="0"/>
          <w:sz w:val="26"/>
        </w:rPr>
        <w:t xml:space="preserve">ERD bộc lộ các chi tiết tầng lưu trữ bị che ở class diagram: quan hệ nhiều-nhiều giữa </w:t>
      </w:r>
      <w:r>
        <w:rPr>
          <w:rFonts w:ascii="Times New Roman" w:hAnsi="Times New Roman" w:eastAsia="Times New Roman"/>
          <w:b w:val="0"/>
          <w:i/>
          <w:sz w:val="26"/>
        </w:rPr>
        <w:t>STUDENTS</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phân giải qua bảng nối </w:t>
      </w:r>
      <w:r>
        <w:rPr>
          <w:rFonts w:ascii="Times New Roman" w:hAnsi="Times New Roman" w:eastAsia="Times New Roman"/>
          <w:b w:val="0"/>
          <w:i/>
          <w:sz w:val="26"/>
        </w:rPr>
        <w:t>ENROLLMENTS</w:t>
      </w:r>
      <w:r>
        <w:rPr>
          <w:rFonts w:ascii="Times New Roman" w:hAnsi="Times New Roman" w:eastAsia="Times New Roman"/>
          <w:b w:val="0"/>
          <w:i w:val="0"/>
          <w:sz w:val="26"/>
        </w:rPr>
        <w:t xml:space="preserve"> (một học sinh đăng ký nhiều lớp, một lớp có nhiều học sinh); quan hệ 1-1 giữa </w:t>
      </w:r>
      <w:r>
        <w:rPr>
          <w:rFonts w:ascii="Times New Roman" w:hAnsi="Times New Roman" w:eastAsia="Times New Roman"/>
          <w:b w:val="0"/>
          <w:i/>
          <w:sz w:val="26"/>
        </w:rPr>
        <w:t>INSTANCES</w:t>
      </w:r>
      <w:r>
        <w:rPr>
          <w:rFonts w:ascii="Times New Roman" w:hAnsi="Times New Roman" w:eastAsia="Times New Roman"/>
          <w:b w:val="0"/>
          <w:i w:val="0"/>
          <w:sz w:val="26"/>
        </w:rPr>
        <w:t xml:space="preserve"> và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(mỗi tenant một gói đang hoạt động). Mọi bảng nghiệp vụ đều mang khoá ngoại định danh tenant (</w:t>
      </w:r>
      <w:r>
        <w:rPr>
          <w:rFonts w:ascii="Times New Roman" w:hAnsi="Times New Roman" w:eastAsia="Times New Roman"/>
          <w:b w:val="0"/>
          <w:i/>
          <w:sz w:val="26"/>
        </w:rPr>
        <w:t>instance_id</w:t>
      </w:r>
      <w:r>
        <w:rPr>
          <w:rFonts w:ascii="Times New Roman" w:hAnsi="Times New Roman" w:eastAsia="Times New Roman"/>
          <w:b w:val="0"/>
          <w:i w:val="0"/>
          <w:sz w:val="26"/>
        </w:rPr>
        <w:t>/</w:t>
      </w:r>
      <w:r>
        <w:rPr>
          <w:rFonts w:ascii="Times New Roman" w:hAnsi="Times New Roman" w:eastAsia="Times New Roman"/>
          <w:b w:val="0"/>
          <w:i/>
          <w:sz w:val="26"/>
        </w:rPr>
        <w:t>tenant_id</w:t>
      </w:r>
      <w:r>
        <w:rPr>
          <w:rFonts w:ascii="Times New Roman" w:hAnsi="Times New Roman" w:eastAsia="Times New Roman"/>
          <w:b w:val="0"/>
          <w:i w:val="0"/>
          <w:sz w:val="26"/>
        </w:rPr>
        <w:t xml:space="preserve">) với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từ </w:t>
      </w:r>
      <w:r>
        <w:rPr>
          <w:rFonts w:ascii="Times New Roman" w:hAnsi="Times New Roman" w:eastAsia="Times New Roman"/>
          <w:b w:val="0"/>
          <w:i/>
          <w:sz w:val="26"/>
        </w:rPr>
        <w:t>INSTANCES</w:t>
      </w:r>
      <w:r>
        <w:rPr>
          <w:rFonts w:ascii="Times New Roman" w:hAnsi="Times New Roman" w:eastAsia="Times New Roman"/>
          <w:b w:val="0"/>
          <w:i w:val="0"/>
          <w:sz w:val="26"/>
        </w:rPr>
        <w:t xml:space="preserve"> — thể hiện ranh giới đa tenant: không bản ghi nghiệp vụ nào tồn tại ngoài ngữ cảnh tenant. Schema chi tiết từng cột của các bảng đại diện được trình bày liền sau tại §2.3.3.</w:t>
      </w:r>
    </w:p>
    <w:p>
      <w:pPr>
        <w:pStyle w:val="Heading3"/>
      </w:pPr>
      <w:r>
        <w:rPr>
          <w:rFonts w:ascii="Times New Roman" w:hAnsi="Times New Roman" w:eastAsia="Times New Roman"/>
          <w:b/>
          <w:color w:val="000000"/>
          <w:sz w:val="28"/>
        </w:rPr>
        <w:t>2.3.3 Thiết kế cơ sở dữ liệu</w:t>
      </w:r>
    </w:p>
    <w:p>
      <w:pPr>
        <w:spacing w:line="288" w:lineRule="auto"/>
        <w:ind w:firstLine="567"/>
        <w:jc w:val="both"/>
      </w:pPr>
      <w:r>
        <w:rPr>
          <w:rFonts w:ascii="Times New Roman" w:hAnsi="Times New Roman" w:eastAsia="Times New Roman"/>
          <w:b w:val="0"/>
          <w:i w:val="0"/>
          <w:sz w:val="26"/>
        </w:rPr>
        <w:t xml:space="preserve">Tiếp nối ERD §2.3.2, phần này trình bày schema chi tiết từng cột của ba bảng đại diện cho các trục thiết kế của Kite Platform: </w:t>
      </w:r>
      <w:r>
        <w:rPr>
          <w:rFonts w:ascii="Times New Roman" w:hAnsi="Times New Roman" w:eastAsia="Times New Roman"/>
          <w:b w:val="0"/>
          <w:i/>
          <w:sz w:val="26"/>
        </w:rPr>
        <w:t>instances</w:t>
      </w:r>
      <w:r>
        <w:rPr>
          <w:rFonts w:ascii="Times New Roman" w:hAnsi="Times New Roman" w:eastAsia="Times New Roman"/>
          <w:b w:val="0"/>
          <w:i w:val="0"/>
          <w:sz w:val="26"/>
        </w:rPr>
        <w:t xml:space="preserve"> (control-plane, vòng đời tenant),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(control-plane, nguồn sự thật billing) và </w:t>
      </w:r>
      <w:r>
        <w:rPr>
          <w:rFonts w:ascii="Times New Roman" w:hAnsi="Times New Roman" w:eastAsia="Times New Roman"/>
          <w:b w:val="0"/>
          <w:i/>
          <w:sz w:val="26"/>
        </w:rPr>
        <w:t>students</w:t>
      </w:r>
      <w:r>
        <w:rPr>
          <w:rFonts w:ascii="Times New Roman" w:hAnsi="Times New Roman" w:eastAsia="Times New Roman"/>
          <w:b w:val="0"/>
          <w:i w:val="0"/>
          <w:sz w:val="26"/>
        </w:rPr>
        <w:t xml:space="preserve"> (domain-plane, hồ sơ học sinh — bảng chịu yêu cầu PDPL chặt chẽ nhất). Schema được pull canonical từ chuỗi migration Flyway của hai cụm dịch vụ (</w:t>
      </w:r>
      <w:r>
        <w:rPr>
          <w:rFonts w:ascii="Times New Roman" w:hAnsi="Times New Roman" w:eastAsia="Times New Roman"/>
          <w:b w:val="0"/>
          <w:i/>
          <w:sz w:val="26"/>
        </w:rPr>
        <w:t>kitehub</w:t>
      </w:r>
      <w:r>
        <w:rPr>
          <w:rFonts w:ascii="Times New Roman" w:hAnsi="Times New Roman" w:eastAsia="Times New Roman"/>
          <w:b w:val="0"/>
          <w:i w:val="0"/>
          <w:sz w:val="26"/>
        </w:rPr>
        <w:t xml:space="preserve"> 57 migration, </w:t>
      </w:r>
      <w:r>
        <w:rPr>
          <w:rFonts w:ascii="Times New Roman" w:hAnsi="Times New Roman" w:eastAsia="Times New Roman"/>
          <w:b w:val="0"/>
          <w:i/>
          <w:sz w:val="26"/>
        </w:rPr>
        <w:t>kiteclass_shared</w:t>
      </w:r>
      <w:r>
        <w:rPr>
          <w:rFonts w:ascii="Times New Roman" w:hAnsi="Times New Roman" w:eastAsia="Times New Roman"/>
          <w:b w:val="0"/>
          <w:i w:val="0"/>
          <w:sz w:val="26"/>
        </w:rPr>
        <w:t xml:space="preserve"> 76 migration). Các bảng nghiệp vụ khác (</w:t>
      </w:r>
      <w:r>
        <w:rPr>
          <w:rFonts w:ascii="Times New Roman" w:hAnsi="Times New Roman" w:eastAsia="Times New Roman"/>
          <w:b w:val="0"/>
          <w:i/>
          <w:sz w:val="26"/>
        </w:rPr>
        <w:t>courses</w:t>
      </w:r>
      <w:r>
        <w:rPr>
          <w:rFonts w:ascii="Times New Roman" w:hAnsi="Times New Roman" w:eastAsia="Times New Roman"/>
          <w:b w:val="0"/>
          <w:i w:val="0"/>
          <w:sz w:val="26"/>
        </w:rPr>
        <w:t xml:space="preserve">, </w:t>
      </w:r>
      <w:r>
        <w:rPr>
          <w:rFonts w:ascii="Times New Roman" w:hAnsi="Times New Roman" w:eastAsia="Times New Roman"/>
          <w:b w:val="0"/>
          <w:i/>
          <w:sz w:val="26"/>
        </w:rPr>
        <w:t>classes</w:t>
      </w:r>
      <w:r>
        <w:rPr>
          <w:rFonts w:ascii="Times New Roman" w:hAnsi="Times New Roman" w:eastAsia="Times New Roman"/>
          <w:b w:val="0"/>
          <w:i w:val="0"/>
          <w:sz w:val="26"/>
        </w:rPr>
        <w:t xml:space="preserve">, </w:t>
      </w:r>
      <w:r>
        <w:rPr>
          <w:rFonts w:ascii="Times New Roman" w:hAnsi="Times New Roman" w:eastAsia="Times New Roman"/>
          <w:b w:val="0"/>
          <w:i/>
          <w:sz w:val="26"/>
        </w:rPr>
        <w:t>enrollments</w:t>
      </w:r>
      <w:r>
        <w:rPr>
          <w:rFonts w:ascii="Times New Roman" w:hAnsi="Times New Roman" w:eastAsia="Times New Roman"/>
          <w:b w:val="0"/>
          <w:i w:val="0"/>
          <w:sz w:val="26"/>
        </w:rPr>
        <w:t xml:space="preserve">, </w:t>
      </w:r>
      <w:r>
        <w:rPr>
          <w:rFonts w:ascii="Times New Roman" w:hAnsi="Times New Roman" w:eastAsia="Times New Roman"/>
          <w:b w:val="0"/>
          <w:i/>
          <w:sz w:val="26"/>
        </w:rPr>
        <w:t>attendance</w:t>
      </w:r>
      <w:r>
        <w:rPr>
          <w:rFonts w:ascii="Times New Roman" w:hAnsi="Times New Roman" w:eastAsia="Times New Roman"/>
          <w:b w:val="0"/>
          <w:i w:val="0"/>
          <w:sz w:val="26"/>
        </w:rPr>
        <w:t xml:space="preserve">, </w:t>
      </w:r>
      <w:r>
        <w:rPr>
          <w:rFonts w:ascii="Times New Roman" w:hAnsi="Times New Roman" w:eastAsia="Times New Roman"/>
          <w:b w:val="0"/>
          <w:i/>
          <w:sz w:val="26"/>
        </w:rPr>
        <w:t>grades</w:t>
      </w:r>
      <w:r>
        <w:rPr>
          <w:rFonts w:ascii="Times New Roman" w:hAnsi="Times New Roman" w:eastAsia="Times New Roman"/>
          <w:b w:val="0"/>
          <w:i w:val="0"/>
          <w:sz w:val="26"/>
        </w:rPr>
        <w:t xml:space="preserve">, </w:t>
      </w:r>
      <w:r>
        <w:rPr>
          <w:rFonts w:ascii="Times New Roman" w:hAnsi="Times New Roman" w:eastAsia="Times New Roman"/>
          <w:b w:val="0"/>
          <w:i/>
          <w:sz w:val="26"/>
        </w:rPr>
        <w:t>branding_templates</w:t>
      </w:r>
      <w:r>
        <w:rPr>
          <w:rFonts w:ascii="Times New Roman" w:hAnsi="Times New Roman" w:eastAsia="Times New Roman"/>
          <w:b w:val="0"/>
          <w:i w:val="0"/>
          <w:sz w:val="26"/>
        </w:rPr>
        <w:t xml:space="preserve">) tuân theo cùng quy ước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 RLS theo tenant (§2.2.4) và quan hệ thực thể tại §2.3.2.</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domain_verify_token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Token DCV (Domain Control Validation) sinh khi tenant đăng ký tên miền riêng</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domain_verified_at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xác minh tên miền thành công qua bản ghi CNAME/TXT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domain_status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Trạng thái xác minh tên miền: </w:t>
            </w:r>
            <w:r>
              <w:rPr>
                <w:rFonts w:ascii="Times New Roman" w:hAnsi="Times New Roman" w:eastAsia="Times New Roman"/>
                <w:b w:val="0"/>
                <w:i/>
                <w:sz w:val="24"/>
              </w:rPr>
              <w:t>PENDING</w:t>
            </w:r>
            <w:r>
              <w:rPr>
                <w:rFonts w:ascii="Times New Roman" w:hAnsi="Times New Roman" w:eastAsia="Times New Roman"/>
                <w:b w:val="0"/>
                <w:i w:val="0"/>
                <w:sz w:val="24"/>
              </w:rPr>
              <w:t xml:space="preserve"> / </w:t>
            </w:r>
            <w:r>
              <w:rPr>
                <w:rFonts w:ascii="Times New Roman" w:hAnsi="Times New Roman" w:eastAsia="Times New Roman"/>
                <w:b w:val="0"/>
                <w:i/>
                <w:sz w:val="24"/>
              </w:rPr>
              <w:t>VERIFIED</w:t>
            </w:r>
            <w:r>
              <w:rPr>
                <w:rFonts w:ascii="Times New Roman" w:hAnsi="Times New Roman" w:eastAsia="Times New Roman"/>
                <w:b w:val="0"/>
                <w:i w:val="0"/>
                <w:sz w:val="24"/>
              </w:rPr>
              <w:t xml:space="preserve"> / </w:t>
            </w:r>
            <w:r>
              <w:rPr>
                <w:rFonts w:ascii="Times New Roman" w:hAnsi="Times New Roman" w:eastAsia="Times New Roman"/>
                <w:b w:val="0"/>
                <w:i/>
                <w:sz w:val="24"/>
              </w:rPr>
              <w:t>FAILED</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tenant (ví dụ </w:t>
            </w:r>
            <w:r>
              <w:rPr>
                <w:rFonts w:ascii="Times New Roman" w:hAnsi="Times New Roman" w:eastAsia="Times New Roman"/>
                <w:b w:val="0"/>
                <w:i/>
                <w:sz w:val="24"/>
              </w:rPr>
              <w:t>Lớp Pháp luật cô Đỗ Lan Khánh</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16</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17</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18</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là nguồn sự thật cho trạng thái đăng ký dịch vụ của mỗi tenant: mỗi tenant có một bản ghi gói đang hoạt động (quan hệ 1-1 với </w:t>
      </w:r>
      <w:r>
        <w:rPr>
          <w:rFonts w:ascii="Times New Roman" w:hAnsi="Times New Roman" w:eastAsia="Times New Roman"/>
          <w:b w:val="0"/>
          <w:i/>
          <w:sz w:val="26"/>
        </w:rPr>
        <w:t>instances</w:t>
      </w:r>
      <w:r>
        <w:rPr>
          <w:rFonts w:ascii="Times New Roman" w:hAnsi="Times New Roman" w:eastAsia="Times New Roman"/>
          <w:b w:val="0"/>
          <w:i w:val="0"/>
          <w:sz w:val="26"/>
        </w:rPr>
        <w:t xml:space="preserve">), liên kết tới chuỗi </w:t>
      </w:r>
      <w:r>
        <w:rPr>
          <w:rFonts w:ascii="Times New Roman" w:hAnsi="Times New Roman" w:eastAsia="Times New Roman"/>
          <w:b w:val="0"/>
          <w:i/>
          <w:sz w:val="26"/>
        </w:rPr>
        <w:t>payments</w:t>
      </w:r>
      <w:r>
        <w:rPr>
          <w:rFonts w:ascii="Times New Roman" w:hAnsi="Times New Roman" w:eastAsia="Times New Roman"/>
          <w:b w:val="0"/>
          <w:i w:val="0"/>
          <w:sz w:val="26"/>
        </w:rPr>
        <w:t xml:space="preserve"> qua khoá ngoại.</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Schema chi tiết bảng `subscriptions`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FREE / STARTER / PRO / PRO_PLUS</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price_vnd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Giá gói theo VND (lưu số nguyên đồng, không thập phân)</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TRIAL / ACTIVE / PAST_DUE / CANCELLED</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kích hoạt gói</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chu kỳ hiện tại</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auto_renew</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tự gia hạn hằng tháng (mặc định true)</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pending_payment_id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Tham chiếu payment đang chờ thanh toán (nullable)</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 và là bảng chịu yêu cầu tuân thủ PDPL chặt chẽ nhất do chứa thông tin cá nhân nhạy cảm.</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2.3.4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2345316"/>
            <wp:docPr id="17" name="Picture 17"/>
            <wp:cNvGraphicFramePr>
              <a:graphicFrameLocks noChangeAspect="1"/>
            </wp:cNvGraphicFramePr>
            <a:graphic>
              <a:graphicData uri="http://schemas.openxmlformats.org/drawingml/2006/picture">
                <pic:pic>
                  <pic:nvPicPr>
                    <pic:cNvPr id="0" name="mermaid-b6a7959c7494b945.png"/>
                    <pic:cNvPicPr/>
                  </pic:nvPicPr>
                  <pic:blipFill>
                    <a:blip r:embed="rId25"/>
                    <a:stretch>
                      <a:fillRect/>
                    </a:stretch>
                  </pic:blipFill>
                  <pic:spPr>
                    <a:xfrm>
                      <a:off x="0" y="0"/>
                      <a:ext cx="5760000" cy="234531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3196244"/>
            <wp:docPr id="18" name="Picture 18"/>
            <wp:cNvGraphicFramePr>
              <a:graphicFrameLocks noChangeAspect="1"/>
            </wp:cNvGraphicFramePr>
            <a:graphic>
              <a:graphicData uri="http://schemas.openxmlformats.org/drawingml/2006/picture">
                <pic:pic>
                  <pic:nvPicPr>
                    <pic:cNvPr id="0" name="mermaid-78fd152d1fb8fcae.png"/>
                    <pic:cNvPicPr/>
                  </pic:nvPicPr>
                  <pic:blipFill>
                    <a:blip r:embed="rId26"/>
                    <a:stretch>
                      <a:fillRect/>
                    </a:stretch>
                  </pic:blipFill>
                  <pic:spPr>
                    <a:xfrm>
                      <a:off x="0" y="0"/>
                      <a:ext cx="5760000" cy="31962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§2.3.5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2.3.5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431339" cy="6480000"/>
            <wp:docPr id="19" name="Picture 19"/>
            <wp:cNvGraphicFramePr>
              <a:graphicFrameLocks noChangeAspect="1"/>
            </wp:cNvGraphicFramePr>
            <a:graphic>
              <a:graphicData uri="http://schemas.openxmlformats.org/drawingml/2006/picture">
                <pic:pic>
                  <pic:nvPicPr>
                    <pic:cNvPr id="0" name="mermaid-a6f4b739c25e129b.png"/>
                    <pic:cNvPicPr/>
                  </pic:nvPicPr>
                  <pic:blipFill>
                    <a:blip r:embed="rId27"/>
                    <a:stretch>
                      <a:fillRect/>
                    </a:stretch>
                  </pic:blipFill>
                  <pic:spPr>
                    <a:xfrm>
                      <a:off x="0" y="0"/>
                      <a:ext cx="5431339"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2.3.6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Ollama/OpenAI</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bốn gói dịch vụ phân tầng theo persona mục tiêu (Bảng 2.10). Hai gói FREE và STARTER đã kiểm chứng hiện tại với hai giáo viên độc lập; hai gói PRO và PRO_PLUS thuộc lộ trình phát triển sau khi mở rộng cohort tenant.</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24"/>
              </w:rPr>
            </w:r>
            <w:r>
              <w:rPr>
                <w:rFonts w:ascii="Times New Roman" w:hAnsi="Times New Roman" w:eastAsia="Times New Roman"/>
                <w:b/>
                <w:i w:val="0"/>
                <w:sz w:val="24"/>
              </w:rPr>
              <w:t>Gói</w:t>
            </w:r>
          </w:p>
        </w:tc>
        <w:tc>
          <w:tcPr>
            <w:tcW w:type="dxa" w:w="960"/>
          </w:tcPr>
          <w:p>
            <w:pPr>
              <w:jc w:val="center"/>
            </w:pPr>
            <w:r>
              <w:rPr>
                <w:b/>
                <w:sz w:val="24"/>
              </w:rPr>
            </w:r>
            <w:r>
              <w:rPr>
                <w:rFonts w:ascii="Times New Roman" w:hAnsi="Times New Roman" w:eastAsia="Times New Roman"/>
                <w:b/>
                <w:i w:val="0"/>
                <w:sz w:val="24"/>
              </w:rPr>
              <w:t>Trạng thái</w:t>
            </w:r>
          </w:p>
        </w:tc>
        <w:tc>
          <w:tcPr>
            <w:tcW w:type="dxa" w:w="960"/>
          </w:tcPr>
          <w:p>
            <w:pPr>
              <w:jc w:val="center"/>
            </w:pPr>
            <w:r>
              <w:rPr>
                <w:b/>
                <w:sz w:val="24"/>
              </w:rPr>
            </w:r>
            <w:r>
              <w:rPr>
                <w:rFonts w:ascii="Times New Roman" w:hAnsi="Times New Roman" w:eastAsia="Times New Roman"/>
                <w:b/>
                <w:i w:val="0"/>
                <w:sz w:val="24"/>
              </w:rPr>
              <w:t>Persona mục tiêu</w:t>
            </w:r>
          </w:p>
        </w:tc>
        <w:tc>
          <w:tcPr>
            <w:tcW w:type="dxa" w:w="960"/>
          </w:tcPr>
          <w:p>
            <w:pPr>
              <w:jc w:val="center"/>
            </w:pPr>
            <w:r>
              <w:rPr>
                <w:b/>
                <w:sz w:val="24"/>
              </w:rPr>
            </w:r>
            <w:r>
              <w:rPr>
                <w:rFonts w:ascii="Times New Roman" w:hAnsi="Times New Roman" w:eastAsia="Times New Roman"/>
                <w:b/>
                <w:i w:val="0"/>
                <w:sz w:val="24"/>
              </w:rPr>
              <w:t>Giá tháng</w:t>
            </w:r>
          </w:p>
        </w:tc>
        <w:tc>
          <w:tcPr>
            <w:tcW w:type="dxa" w:w="960"/>
          </w:tcPr>
          <w:p>
            <w:pPr>
              <w:jc w:val="center"/>
            </w:pPr>
            <w:r>
              <w:rPr>
                <w:b/>
                <w:sz w:val="24"/>
              </w:rPr>
            </w:r>
            <w:r>
              <w:rPr>
                <w:rFonts w:ascii="Times New Roman" w:hAnsi="Times New Roman" w:eastAsia="Times New Roman"/>
                <w:b/>
                <w:i w:val="0"/>
                <w:sz w:val="24"/>
              </w:rPr>
              <w:t>Số học sinh</w:t>
            </w:r>
          </w:p>
        </w:tc>
        <w:tc>
          <w:tcPr>
            <w:tcW w:type="dxa" w:w="960"/>
          </w:tcPr>
          <w:p>
            <w:pPr>
              <w:jc w:val="center"/>
            </w:pPr>
            <w:r>
              <w:rPr>
                <w:b/>
                <w:sz w:val="24"/>
              </w:rPr>
            </w:r>
            <w:r>
              <w:rPr>
                <w:rFonts w:ascii="Times New Roman" w:hAnsi="Times New Roman" w:eastAsia="Times New Roman"/>
                <w:b/>
                <w:i w:val="0"/>
                <w:sz w:val="24"/>
              </w:rPr>
              <w:t>Số lớp</w:t>
            </w:r>
          </w:p>
        </w:tc>
        <w:tc>
          <w:tcPr>
            <w:tcW w:type="dxa" w:w="960"/>
          </w:tcPr>
          <w:p>
            <w:pPr>
              <w:jc w:val="center"/>
            </w:pPr>
            <w:r>
              <w:rPr>
                <w:b/>
                <w:sz w:val="24"/>
              </w:rPr>
            </w:r>
            <w:r>
              <w:rPr>
                <w:rFonts w:ascii="Times New Roman" w:hAnsi="Times New Roman" w:eastAsia="Times New Roman"/>
                <w:b/>
                <w:i w:val="0"/>
                <w:sz w:val="24"/>
              </w:rPr>
              <w:t>Lượt sinh ảnh AI/ngày</w:t>
            </w:r>
          </w:p>
        </w:tc>
        <w:tc>
          <w:tcPr>
            <w:tcW w:type="dxa" w:w="960"/>
          </w:tcPr>
          <w:p>
            <w:pPr>
              <w:jc w:val="center"/>
            </w:pPr>
            <w:r>
              <w:rPr>
                <w:b/>
                <w:sz w:val="24"/>
              </w:rPr>
            </w:r>
            <w:r>
              <w:rPr>
                <w:rFonts w:ascii="Times New Roman" w:hAnsi="Times New Roman" w:eastAsia="Times New Roman"/>
                <w:b/>
                <w:i w:val="0"/>
                <w:sz w:val="24"/>
              </w:rPr>
              <w:t>Tên miền riêng (custom domain)</w:t>
            </w:r>
          </w:p>
        </w:tc>
        <w:tc>
          <w:tcPr>
            <w:tcW w:type="dxa" w:w="960"/>
          </w:tcPr>
          <w:p>
            <w:pPr>
              <w:jc w:val="center"/>
            </w:pPr>
            <w:r>
              <w:rPr>
                <w:b/>
                <w:sz w:val="24"/>
              </w:rPr>
            </w:r>
            <w:r>
              <w:rPr>
                <w:rFonts w:ascii="Times New Roman" w:hAnsi="Times New Roman" w:eastAsia="Times New Roman"/>
                <w:b/>
                <w:i w:val="0"/>
                <w:sz w:val="24"/>
              </w:rPr>
              <w:t>Email DKIM-verified</w:t>
            </w:r>
          </w:p>
        </w:tc>
      </w:tr>
      <w:tr>
        <w:tc>
          <w:tcPr>
            <w:tcW w:type="dxa" w:w="960"/>
          </w:tcPr>
          <w:p>
            <w:r>
              <w:rPr>
                <w:sz w:val="24"/>
              </w:rPr>
            </w:r>
            <w:r>
              <w:rPr>
                <w:rFonts w:ascii="Times New Roman" w:hAnsi="Times New Roman" w:eastAsia="Times New Roman"/>
                <w:b w:val="0"/>
                <w:i w:val="0"/>
                <w:sz w:val="24"/>
              </w:rPr>
              <w:t>FREE</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P1 Giáo viên độc lập</w:t>
            </w:r>
          </w:p>
        </w:tc>
        <w:tc>
          <w:tcPr>
            <w:tcW w:type="dxa" w:w="960"/>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w:t>
            </w:r>
          </w:p>
        </w:tc>
        <w:tc>
          <w:tcPr>
            <w:tcW w:type="dxa" w:w="960"/>
          </w:tcPr>
          <w:p>
            <w:r>
              <w:rPr>
                <w:sz w:val="24"/>
              </w:rPr>
            </w:r>
            <w:r>
              <w:rPr>
                <w:rFonts w:ascii="Times New Roman" w:hAnsi="Times New Roman" w:eastAsia="Times New Roman"/>
                <w:b w:val="0"/>
                <w:i w:val="0"/>
                <w:sz w:val="24"/>
              </w:rPr>
              <w:t>3</w:t>
            </w:r>
          </w:p>
        </w:tc>
        <w:tc>
          <w:tcPr>
            <w:tcW w:type="dxa" w:w="960"/>
          </w:tcPr>
          <w:p>
            <w:r>
              <w:rPr>
                <w:sz w:val="24"/>
              </w:rPr>
            </w:r>
            <w:r>
              <w:rPr>
                <w:rFonts w:ascii="Times New Roman" w:hAnsi="Times New Roman" w:eastAsia="Times New Roman"/>
                <w:b w:val="0"/>
                <w:i w:val="0"/>
                <w:sz w:val="24"/>
              </w:rPr>
              <w:t xml:space="preserve">Không (chỉ subdomain </w:t>
            </w:r>
            <w:r>
              <w:rPr>
                <w:rFonts w:ascii="Times New Roman" w:hAnsi="Times New Roman" w:eastAsia="Times New Roman"/>
                <w:b w:val="0"/>
                <w:i/>
                <w:sz w:val="24"/>
              </w:rPr>
              <w:t>*.kitehub.me</w:t>
            </w:r>
            <w:r>
              <w:rPr>
                <w:rFonts w:ascii="Times New Roman" w:hAnsi="Times New Roman" w:eastAsia="Times New Roman"/>
                <w:b w:val="0"/>
                <w:i w:val="0"/>
                <w:sz w:val="24"/>
              </w:rPr>
              <w:t>)</w:t>
            </w:r>
          </w:p>
        </w:tc>
        <w:tc>
          <w:tcPr>
            <w:tcW w:type="dxa" w:w="960"/>
          </w:tcPr>
          <w:p>
            <w:r>
              <w:rPr>
                <w:sz w:val="24"/>
              </w:rPr>
            </w:r>
            <w:r>
              <w:rPr>
                <w:rFonts w:ascii="Times New Roman" w:hAnsi="Times New Roman" w:eastAsia="Times New Roman"/>
                <w:b w:val="0"/>
                <w:i w:val="0"/>
                <w:sz w:val="24"/>
              </w:rPr>
              <w:t>Mặc định (shared DKIM)</w:t>
            </w:r>
          </w:p>
        </w:tc>
      </w:tr>
      <w:tr>
        <w:tc>
          <w:tcPr>
            <w:tcW w:type="dxa" w:w="960"/>
          </w:tcPr>
          <w:p>
            <w:r>
              <w:rPr>
                <w:sz w:val="24"/>
              </w:rPr>
            </w:r>
            <w:r>
              <w:rPr>
                <w:rFonts w:ascii="Times New Roman" w:hAnsi="Times New Roman" w:eastAsia="Times New Roman"/>
                <w:b w:val="0"/>
                <w:i w:val="0"/>
                <w:sz w:val="24"/>
              </w:rPr>
              <w:t>STARTER</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P2 Chủ sở hữu trung tâm SMB</w:t>
            </w:r>
          </w:p>
        </w:tc>
        <w:tc>
          <w:tcPr>
            <w:tcW w:type="dxa" w:w="960"/>
          </w:tcPr>
          <w:p>
            <w:r>
              <w:rPr>
                <w:sz w:val="24"/>
              </w:rPr>
            </w:r>
            <w:r>
              <w:rPr>
                <w:rFonts w:ascii="Times New Roman" w:hAnsi="Times New Roman" w:eastAsia="Times New Roman"/>
                <w:b w:val="0"/>
                <w:i/>
                <w:sz w:val="24"/>
              </w:rPr>
              <w:t>500.000đ/tháng</w:t>
            </w:r>
          </w:p>
        </w:tc>
        <w:tc>
          <w:tcPr>
            <w:tcW w:type="dxa" w:w="960"/>
          </w:tcPr>
          <w:p>
            <w:r>
              <w:rPr>
                <w:sz w:val="24"/>
              </w:rPr>
            </w:r>
            <w:r>
              <w:rPr>
                <w:rFonts w:ascii="Times New Roman" w:hAnsi="Times New Roman" w:eastAsia="Times New Roman"/>
                <w:b w:val="0"/>
                <w:i w:val="0"/>
                <w:sz w:val="24"/>
              </w:rPr>
              <w:t>100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Không</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P3 Quản lý trung tâm</w:t>
            </w:r>
          </w:p>
        </w:tc>
        <w:tc>
          <w:tcPr>
            <w:tcW w:type="dxa" w:w="960"/>
          </w:tcPr>
          <w:p>
            <w:r>
              <w:rPr>
                <w:sz w:val="24"/>
              </w:rPr>
            </w:r>
            <w:r>
              <w:rPr>
                <w:rFonts w:ascii="Times New Roman" w:hAnsi="Times New Roman" w:eastAsia="Times New Roman"/>
                <w:b w:val="0"/>
                <w:i/>
                <w:sz w:val="24"/>
              </w:rPr>
              <w:t>1.500.000đ/tháng</w:t>
            </w:r>
          </w:p>
        </w:tc>
        <w:tc>
          <w:tcPr>
            <w:tcW w:type="dxa" w:w="960"/>
          </w:tcPr>
          <w:p>
            <w:r>
              <w:rPr>
                <w:sz w:val="24"/>
              </w:rPr>
            </w:r>
            <w:r>
              <w:rPr>
                <w:rFonts w:ascii="Times New Roman" w:hAnsi="Times New Roman" w:eastAsia="Times New Roman"/>
                <w:b w:val="0"/>
                <w:i w:val="0"/>
                <w:sz w:val="24"/>
              </w:rPr>
              <w:t>500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Có (custom CNAME)</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PRO_PLUS</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Chuỗi nhượng quyền multi-branch</w:t>
            </w:r>
          </w:p>
        </w:tc>
        <w:tc>
          <w:tcPr>
            <w:tcW w:type="dxa" w:w="960"/>
          </w:tcPr>
          <w:p>
            <w:r>
              <w:rPr>
                <w:sz w:val="24"/>
              </w:rPr>
            </w:r>
            <w:r>
              <w:rPr>
                <w:rFonts w:ascii="Times New Roman" w:hAnsi="Times New Roman" w:eastAsia="Times New Roman"/>
                <w:b w:val="0"/>
                <w:i/>
                <w:sz w:val="24"/>
              </w:rPr>
              <w:t>5.000.000đ/tháng</w:t>
            </w:r>
          </w:p>
        </w:tc>
        <w:tc>
          <w:tcPr>
            <w:tcW w:type="dxa" w:w="960"/>
          </w:tcPr>
          <w:p>
            <w:r>
              <w:rPr>
                <w:sz w:val="24"/>
              </w:rPr>
            </w:r>
            <w:r>
              <w:rPr>
                <w:rFonts w:ascii="Times New Roman" w:hAnsi="Times New Roman" w:eastAsia="Times New Roman"/>
                <w:b w:val="0"/>
                <w:i w:val="0"/>
                <w:sz w:val="24"/>
              </w:rPr>
              <w:t>2000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Có (custom CNAME + IP riêng)</w:t>
            </w:r>
          </w:p>
        </w:tc>
        <w:tc>
          <w:tcPr>
            <w:tcW w:type="dxa" w:w="960"/>
          </w:tcPr>
          <w:p>
            <w:r>
              <w:rPr>
                <w:sz w:val="24"/>
              </w:rPr>
            </w:r>
            <w:r>
              <w:rPr>
                <w:rFonts w:ascii="Times New Roman" w:hAnsi="Times New Roman" w:eastAsia="Times New Roman"/>
                <w:b w:val="0"/>
                <w:i w:val="0"/>
                <w:sz w:val="24"/>
              </w:rPr>
              <w:t>DKIM-verified riêng</w:t>
            </w:r>
          </w:p>
        </w:tc>
      </w:tr>
    </w:tbl>
    <w:p/>
    <w:p>
      <w:pPr>
        <w:spacing w:line="288" w:lineRule="auto"/>
        <w:ind w:firstLine="567"/>
        <w:jc w:val="both"/>
      </w:pPr>
      <w:r>
        <w:rPr>
          <w:rFonts w:ascii="Times New Roman" w:hAnsi="Times New Roman" w:eastAsia="Times New Roman"/>
          <w:b/>
          <w:i w:val="0"/>
          <w:sz w:val="26"/>
        </w:rPr>
        <w:t>Trạng thái hiện thực hoá.</w:t>
      </w:r>
      <w:r>
        <w:rPr>
          <w:rFonts w:ascii="Times New Roman" w:hAnsi="Times New Roman" w:eastAsia="Times New Roman"/>
          <w:b w:val="0"/>
          <w:i w:val="0"/>
          <w:sz w:val="26"/>
        </w:rPr>
        <w:t xml:space="preserve"> Mã nguồn hiện tại trên kho lưu trữ KiteHub đã định nghĩa enum </w:t>
      </w:r>
      <w:r>
        <w:rPr>
          <w:rFonts w:ascii="Times New Roman" w:hAnsi="Times New Roman" w:eastAsia="Times New Roman"/>
          <w:b w:val="0"/>
          <w:i/>
          <w:sz w:val="26"/>
        </w:rPr>
        <w:t>PricingTier</w:t>
      </w:r>
      <w:r>
        <w:rPr>
          <w:rFonts w:ascii="Times New Roman" w:hAnsi="Times New Roman" w:eastAsia="Times New Roman"/>
          <w:b w:val="0"/>
          <w:i w:val="0"/>
          <w:sz w:val="26"/>
        </w:rPr>
        <w:t xml:space="preserve"> với bốn cấp giá </w:t>
      </w:r>
      <w:r>
        <w:rPr>
          <w:rFonts w:ascii="Times New Roman" w:hAnsi="Times New Roman" w:eastAsia="Times New Roman"/>
          <w:b w:val="0"/>
          <w:i/>
          <w:sz w:val="26"/>
        </w:rPr>
        <w:t>FREE / BASIC / PREMIUM / ENTERPRISE</w:t>
      </w:r>
      <w:r>
        <w:rPr>
          <w:rFonts w:ascii="Times New Roman" w:hAnsi="Times New Roman" w:eastAsia="Times New Roman"/>
          <w:b w:val="0"/>
          <w:i w:val="0"/>
          <w:sz w:val="26"/>
        </w:rPr>
        <w:t xml:space="preserve"> cùng mức giá </w:t>
      </w:r>
      <w:r>
        <w:rPr>
          <w:rFonts w:ascii="Times New Roman" w:hAnsi="Times New Roman" w:eastAsia="Times New Roman"/>
          <w:b w:val="0"/>
          <w:i/>
          <w:sz w:val="26"/>
        </w:rPr>
        <w:t>0đ / 500.000đ / 1.500.000đ / báo giá riêng</w:t>
      </w:r>
      <w:r>
        <w:rPr>
          <w:rFonts w:ascii="Times New Roman" w:hAnsi="Times New Roman" w:eastAsia="Times New Roman"/>
          <w:b w:val="0"/>
          <w:i w:val="0"/>
          <w:sz w:val="26"/>
        </w:rPr>
        <w:t xml:space="preserve">, khớp ba tầng giá đầu của Bảng 2.10 dưới tên gọi cũ. Việc đổi tên gói sang </w:t>
      </w:r>
      <w:r>
        <w:rPr>
          <w:rFonts w:ascii="Times New Roman" w:hAnsi="Times New Roman" w:eastAsia="Times New Roman"/>
          <w:b w:val="0"/>
          <w:i/>
          <w:sz w:val="26"/>
        </w:rPr>
        <w:t>FREE / STARTER / PRO / PRO_PLUS</w:t>
      </w:r>
      <w:r>
        <w:rPr>
          <w:rFonts w:ascii="Times New Roman" w:hAnsi="Times New Roman" w:eastAsia="Times New Roman"/>
          <w:b w:val="0"/>
          <w:i w:val="0"/>
          <w:sz w:val="26"/>
        </w:rPr>
        <w:t xml:space="preserve"> để thân thiện với người dùng và đồng nhất với phân tích nhóm người dùng đại diện tại §1.1.2, bổ sung trường giới hạn </w:t>
      </w:r>
      <w:r>
        <w:rPr>
          <w:rFonts w:ascii="Times New Roman" w:hAnsi="Times New Roman" w:eastAsia="Times New Roman"/>
          <w:b w:val="0"/>
          <w:i/>
          <w:sz w:val="26"/>
        </w:rPr>
        <w:t>maxClasses</w:t>
      </w:r>
      <w:r>
        <w:rPr>
          <w:rFonts w:ascii="Times New Roman" w:hAnsi="Times New Roman" w:eastAsia="Times New Roman"/>
          <w:b w:val="0"/>
          <w:i w:val="0"/>
          <w:sz w:val="26"/>
        </w:rPr>
        <w:t xml:space="preserve">, và xây dựng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cho cơ chế enforcement HTTP 429 ở tầng tenant thuộc lộ trình phát triển sau. Tính năng nhận diện email DKIM riêng cho gói cao cấp (cột "Email DKIM-verified" cho PRO_PLUS) cũng thuộc lộ trình phát triển sau.</w:t>
      </w:r>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r>
        <w:br w:type="page"/>
      </w:r>
    </w:p>
    <w:p>
      <w:pPr>
        <w:pStyle w:val="Heading1"/>
        <w:jc w:val="center"/>
      </w:pPr>
      <w:r>
        <w:rPr>
          <w:rFonts w:ascii="Times New Roman" w:hAnsi="Times New Roman" w:eastAsia="Times New Roman"/>
          <w:b/>
          <w:color w:val="000000"/>
          <w:sz w:val="36"/>
        </w:rPr>
        <w:t>CHƯƠNG 3. TRIỂN KHAI SẢN PHẨM VÀ KIỂM THỬ HỆ THỐNG</w:t>
      </w:r>
    </w:p>
    <w:p>
      <w:pPr>
        <w:pStyle w:val="Heading2"/>
      </w:pPr>
      <w:r>
        <w:rPr>
          <w:rFonts w:ascii="Times New Roman" w:hAnsi="Times New Roman" w:eastAsia="Times New Roman"/>
          <w:b/>
          <w:color w:val="000000"/>
          <w:sz w:val="32"/>
        </w:rPr>
        <w:t>3.1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3.1.1 Luồng khám phá và kích hoạt tenant (khách ẩn danh → chủ sở hữu trung tâm)</w:t>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12-public-homepage-sky-branded.png"/>
                    <pic:cNvPicPr/>
                  </pic:nvPicPr>
                  <pic:blipFill>
                    <a:blip r:embed="rId28"/>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1-login-page.png"/>
                    <pic:cNvPicPr/>
                  </pic:nvPicPr>
                  <pic:blipFill>
                    <a:blip r:embed="rId29"/>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2-dashboard-overview-kpi-orange.png"/>
                    <pic:cNvPicPr/>
                  </pic:nvPicPr>
                  <pic:blipFill>
                    <a:blip r:embed="rId3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cô Đỗ Lan Khánh (tên giả định), một giảng viên độc lập dạy thêm môn Pháp luật &amp; Đời sống bậc THPT, với bộ nhận diện thương hiệu riêng (tông màu xanh navy phối vàng gold chủ đạo, tên giảng viên và khẩu hiệu "Vững kiến thức - Vững tương lai"). Trang được dựng theo cấu trúc nhiều khối: giới thiệu, tính năng nổi bật (lộ trình học, quản lý học viên, học phí &amp; báo cáo), thông tin giảng viên, thành tích ôn luyện môn Giáo dục công dân và Pháp luật trong kỳ thi tốt nghiệp THPT, bảng học phí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2.800.000đ/khóa</w:t>
      </w:r>
      <w:r>
        <w:rPr>
          <w:rFonts w:ascii="Times New Roman" w:hAnsi="Times New Roman" w:eastAsia="Times New Roman"/>
          <w:b w:val="0"/>
          <w:i w:val="0"/>
          <w:sz w:val="26"/>
        </w:rPr>
        <w:t xml:space="preserve">, </w:t>
      </w:r>
      <w:r>
        <w:rPr>
          <w:rFonts w:ascii="Times New Roman" w:hAnsi="Times New Roman" w:eastAsia="Times New Roman"/>
          <w:b w:val="0"/>
          <w:i/>
          <w:sz w:val="26"/>
        </w:rPr>
        <w:t>4.500.000đ/khóa chuyên sâu</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giảng viên nhập thông tin tài khoản đã được cấp sau khi yêu cầu truy cập được quản trị viên nền tảng duyệt. Bước thứ ba là dashboard tổng quan sau đăng nhập, gồm thẻ chào mừng kèm các thao tác nhanh (thêm học sinh, thêm giáo viên, tạo khóa học) và bốn thẻ chỉ số tổng quan — Tổng học viên, Giáo viên, Khóa học và Lớp học — hiển thị lần lượt 30, 1, 1 và 0 cho tenant của cô Khánh. Ba thẻ đầu phản ánh đúng dữ liệu thực trong cơ sở dữ liệu; riêng thẻ Lớp học tạm hiển thị 0 do endpoint thống kê lớp chưa hoàn thiện ở thời điểm thực hiện đồ án — phản ánh trung thực mức độ hoàn thiện của tính năng. Bên dưới là hai bảng "Học viên mới nhất" và "Hóa đơn gần đây" liệt kê hoạt động gần đây của trung tâm.</w:t>
      </w:r>
    </w:p>
    <w:p>
      <w:pPr>
        <w:pStyle w:val="Heading3"/>
      </w:pPr>
      <w:r>
        <w:rPr>
          <w:rFonts w:ascii="Times New Roman" w:hAnsi="Times New Roman" w:eastAsia="Times New Roman"/>
          <w:b/>
          <w:color w:val="000000"/>
          <w:sz w:val="28"/>
        </w:rPr>
        <w:t>3.1.2 Tùy biến thương hiệu bằng AI (AI Branding)</w:t>
      </w:r>
    </w:p>
    <w:p>
      <w:pPr>
        <w:spacing w:before="120" w:after="60"/>
        <w:jc w:val="center"/>
      </w:pPr>
      <w:r>
        <w:drawing>
          <wp:inline xmlns:a="http://schemas.openxmlformats.org/drawingml/2006/main" xmlns:pic="http://schemas.openxmlformats.org/drawingml/2006/picture">
            <wp:extent cx="5760000" cy="3600000"/>
            <wp:docPr id="23" name="Picture 23"/>
            <wp:cNvGraphicFramePr>
              <a:graphicFrameLocks noChangeAspect="1"/>
            </wp:cNvGraphicFramePr>
            <a:graphic>
              <a:graphicData uri="http://schemas.openxmlformats.org/drawingml/2006/picture">
                <pic:pic>
                  <pic:nvPicPr>
                    <pic:cNvPr id="0" name="03-branding-settings.png"/>
                    <pic:cNvPicPr/>
                  </pic:nvPicPr>
                  <pic:blipFill>
                    <a:blip r:embed="rId3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và qua bộ phân loại an toàn nội dung tự động [32] trước khi nhấn triển khai; thứ hai là cách tiếp cận ưu tiên mẫu có sẵn (template-first) — hệ thống mặc định dùng các mẫu đã qua kiểm định chất lượng, chỉ gọi mô hình sinh nội dung bằng trí tuệ nhân tạo [31]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3.1.3 Quản lý học viên và tổ chức vận hành</w:t>
      </w:r>
    </w:p>
    <w:p>
      <w:pPr>
        <w:spacing w:before="120" w:after="60"/>
        <w:jc w:val="center"/>
      </w:pPr>
      <w:r>
        <w:drawing>
          <wp:inline xmlns:a="http://schemas.openxmlformats.org/drawingml/2006/main" xmlns:pic="http://schemas.openxmlformats.org/drawingml/2006/picture">
            <wp:extent cx="5760000" cy="3600000"/>
            <wp:docPr id="24" name="Picture 24"/>
            <wp:cNvGraphicFramePr>
              <a:graphicFrameLocks noChangeAspect="1"/>
            </wp:cNvGraphicFramePr>
            <a:graphic>
              <a:graphicData uri="http://schemas.openxmlformats.org/drawingml/2006/picture">
                <pic:pic>
                  <pic:nvPicPr>
                    <pic:cNvPr id="0" name="05-students.png"/>
                    <pic:cNvPicPr/>
                  </pic:nvPicPr>
                  <pic:blipFill>
                    <a:blip r:embed="rId3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tenant mẫu của cô Đỗ Lan Khánh đã có 30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dạy thêm tại Việt Nam.</w:t>
      </w:r>
    </w:p>
    <w:p>
      <w:pPr>
        <w:pStyle w:val="Heading3"/>
      </w:pPr>
      <w:r>
        <w:rPr>
          <w:rFonts w:ascii="Times New Roman" w:hAnsi="Times New Roman" w:eastAsia="Times New Roman"/>
          <w:b/>
          <w:color w:val="000000"/>
          <w:sz w:val="28"/>
        </w:rPr>
        <w:t>3.1.4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hiện tại: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lộ trình phát triển sau gồm: cổng thông tin dành cho phụ huynh (nhóm người dùng đại diện P4), ứng dụng di động gốc,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3.2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theo quy trình đảm bảo chất lượng phần mềm (SQA) chuẩn IEEE 730 [23].</w:t>
      </w:r>
    </w:p>
    <w:p>
      <w:pPr>
        <w:pStyle w:val="Heading3"/>
      </w:pPr>
      <w:r>
        <w:rPr>
          <w:rFonts w:ascii="Times New Roman" w:hAnsi="Times New Roman" w:eastAsia="Times New Roman"/>
          <w:b/>
          <w:color w:val="000000"/>
          <w:sz w:val="28"/>
        </w:rPr>
        <w:t>3.2.1 Tháp kiểm thử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3620404" cy="6480000"/>
            <wp:docPr id="25" name="Picture 25"/>
            <wp:cNvGraphicFramePr>
              <a:graphicFrameLocks noChangeAspect="1"/>
            </wp:cNvGraphicFramePr>
            <a:graphic>
              <a:graphicData uri="http://schemas.openxmlformats.org/drawingml/2006/picture">
                <pic:pic>
                  <pic:nvPicPr>
                    <pic:cNvPr id="0" name="mermaid-f91993f073a5141c.png"/>
                    <pic:cNvPicPr/>
                  </pic:nvPicPr>
                  <pic:blipFill>
                    <a:blip r:embed="rId33"/>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3.2.2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lộ trình phát triển sau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kiểm thử đầu-cuối cho luồng sinh ảnh AI Branding thấp do phụ thuộc dịch vụ sinh ảnh bên ngoài (DALL-E 3) khó giả lập. Các hạn chế này được ghi nhận riêng và sắp xếp theo lộ trình phát triển sau tùy mức ưu tiên.</w:t>
      </w:r>
    </w:p>
    <w:p>
      <w:r>
        <w:br w:type="page"/>
      </w:r>
    </w:p>
    <w:p>
      <w:pPr>
        <w:pStyle w:val="Heading1"/>
        <w:jc w:val="center"/>
      </w:pPr>
      <w:r>
        <w:rPr>
          <w:rFonts w:ascii="Times New Roman" w:hAnsi="Times New Roman" w:eastAsia="Times New Roman"/>
          <w:b/>
          <w:color w:val="000000"/>
          <w:sz w:val="36"/>
        </w:rPr>
        <w:t>CHƯƠNG 4. TRIỂN KHAI HẠ TẦNG VÀ KẾT QUẢ VẬN HÀNH</w:t>
      </w:r>
    </w:p>
    <w:p>
      <w:pPr>
        <w:pStyle w:val="Heading2"/>
      </w:pPr>
      <w:r>
        <w:rPr>
          <w:rFonts w:ascii="Times New Roman" w:hAnsi="Times New Roman" w:eastAsia="Times New Roman"/>
          <w:b/>
          <w:color w:val="000000"/>
          <w:sz w:val="32"/>
        </w:rPr>
        <w:t>4.1 Triển khai cloud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26" name="Picture 26"/>
            <wp:cNvGraphicFramePr>
              <a:graphicFrameLocks noChangeAspect="1"/>
            </wp:cNvGraphicFramePr>
            <a:graphic>
              <a:graphicData uri="http://schemas.openxmlformats.org/drawingml/2006/picture">
                <pic:pic>
                  <pic:nvPicPr>
                    <pic:cNvPr id="0" name="plantuml-294497237df6674e.png"/>
                    <pic:cNvPicPr/>
                  </pic:nvPicPr>
                  <pic:blipFill>
                    <a:blip r:embed="rId34"/>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7" name="Picture 27"/>
            <wp:cNvGraphicFramePr>
              <a:graphicFrameLocks noChangeAspect="1"/>
            </wp:cNvGraphicFramePr>
            <a:graphic>
              <a:graphicData uri="http://schemas.openxmlformats.org/drawingml/2006/picture">
                <pic:pic>
                  <pic:nvPicPr>
                    <pic:cNvPr id="0" name="plantuml-e506096e358f22e1.png"/>
                    <pic:cNvPicPr/>
                  </pic:nvPicPr>
                  <pic:blipFill>
                    <a:blip r:embed="rId35"/>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§2.2.3)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§2.2.4).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Pipeline CI/CD</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và các thực hành DevOps hiệu năng cao [38]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810638"/>
            <wp:docPr id="28" name="Picture 28"/>
            <wp:cNvGraphicFramePr>
              <a:graphicFrameLocks noChangeAspect="1"/>
            </wp:cNvGraphicFramePr>
            <a:graphic>
              <a:graphicData uri="http://schemas.openxmlformats.org/drawingml/2006/picture">
                <pic:pic>
                  <pic:nvPicPr>
                    <pic:cNvPr id="0" name="mermaid-60538a9e5a241a58.png"/>
                    <pic:cNvPicPr/>
                  </pic:nvPicPr>
                  <pic:blipFill>
                    <a:blip r:embed="rId36"/>
                    <a:stretch>
                      <a:fillRect/>
                    </a:stretch>
                  </pic:blipFill>
                  <pic:spPr>
                    <a:xfrm>
                      <a:off x="0" y="0"/>
                      <a:ext cx="5760000" cy="281063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953065"/>
            <wp:docPr id="29" name="Picture 29"/>
            <wp:cNvGraphicFramePr>
              <a:graphicFrameLocks noChangeAspect="1"/>
            </wp:cNvGraphicFramePr>
            <a:graphic>
              <a:graphicData uri="http://schemas.openxmlformats.org/drawingml/2006/picture">
                <pic:pic>
                  <pic:nvPicPr>
                    <pic:cNvPr id="0" name="mermaid-fc29fe5a3a5711a8.png"/>
                    <pic:cNvPicPr/>
                  </pic:nvPicPr>
                  <pic:blipFill>
                    <a:blip r:embed="rId37"/>
                    <a:stretch>
                      <a:fillRect/>
                    </a:stretch>
                  </pic:blipFill>
                  <pic:spPr>
                    <a:xfrm>
                      <a:off x="0" y="0"/>
                      <a:ext cx="5760000" cy="295306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cô Đỗ Lan Khánh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Để đánh giá khả năng phục vụ thực tế của nền tảng trên các phân khúc người dùng khác nhau, đồ án triển khai vận hành thử với hai giảng viên độc lập đại diện cho hai gói dịch vụ: cô Nguyễn Thị Hà (gói Miễn phí) và thầy Nguyễn Đình Nhì (gói Trả phí). Hai trường hợp này cùng với tenant cô Đỗ Lan Khánh ở mục 4.1 minh chứng rằng cùng một nền tảng đa tenant phục vụ được cả người dùng quy mô nhỏ lẫn người dùng cần đầy đủ tính năng nâng cao.</w:t>
      </w:r>
    </w:p>
    <w:p>
      <w:pPr>
        <w:pStyle w:val="Heading3"/>
      </w:pPr>
      <w:r>
        <w:rPr>
          <w:rFonts w:ascii="Times New Roman" w:hAnsi="Times New Roman" w:eastAsia="Times New Roman"/>
          <w:b/>
          <w:color w:val="000000"/>
          <w:sz w:val="28"/>
        </w:rPr>
        <w:t>4.2.1 Giảng viên gói Miễn phí — cô Nguyễn Thị Hà</w:t>
      </w:r>
    </w:p>
    <w:p>
      <w:pPr>
        <w:spacing w:line="288" w:lineRule="auto"/>
        <w:ind w:firstLine="567"/>
        <w:jc w:val="both"/>
      </w:pPr>
      <w:r>
        <w:rPr>
          <w:rFonts w:ascii="Times New Roman" w:hAnsi="Times New Roman" w:eastAsia="Times New Roman"/>
          <w:b w:val="0"/>
          <w:i w:val="0"/>
          <w:sz w:val="26"/>
        </w:rPr>
        <w:t>Cô Nguyễn Thị Hà là giáo viên Tin học tại một trường tiểu học công lập, dạy thêm môn Toán cho học sinh tiểu học ngoài giờ. Với quy mô lớp nhỏ và nhu cầu cơ bản, cô sử dụng gói Miễn phí. Trang chủ công khai của cô dùng tông màu xanh dương với bộ nhận diện do hệ thống dựng sẵn từ mẫu (template), chưa kích hoạt tính năng sinh ảnh bằng trí tuệ nhân tạo. Cô quản lý danh sách học viên, lập lịch buổi học và điểm danh qua giao diện cơ bản; phát hành hóa đơn học phí thủ công và đối soát thanh toán qua chuyển khoản. Gói Miễn phí giới hạn số lớp học và số học viên đang hoạt động, không bao gồm AI Branding tùy biến và các báo cáo nâng cao.</w:t>
      </w:r>
    </w:p>
    <w:p>
      <w:pPr>
        <w:spacing w:before="120" w:after="60"/>
        <w:jc w:val="center"/>
      </w:pPr>
      <w:r>
        <w:drawing>
          <wp:inline xmlns:a="http://schemas.openxmlformats.org/drawingml/2006/main" xmlns:pic="http://schemas.openxmlformats.org/drawingml/2006/picture">
            <wp:extent cx="5760000" cy="3600000"/>
            <wp:docPr id="30" name="Picture 30"/>
            <wp:cNvGraphicFramePr>
              <a:graphicFrameLocks noChangeAspect="1"/>
            </wp:cNvGraphicFramePr>
            <a:graphic>
              <a:graphicData uri="http://schemas.openxmlformats.org/drawingml/2006/picture">
                <pic:pic>
                  <pic:nvPicPr>
                    <pic:cNvPr id="0" name="ha-homepage-blue-branded.png"/>
                    <pic:cNvPicPr/>
                  </pic:nvPicPr>
                  <pic:blipFill>
                    <a:blip r:embed="rId38"/>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4.3</w:t>
      </w:r>
      <w:r>
        <w:rPr>
          <w:rFonts w:ascii="Times New Roman" w:hAnsi="Times New Roman" w:eastAsia="Times New Roman"/>
          <w:sz w:val="26"/>
        </w:rPr>
        <w:t>. Trang chủ công khai của cô Nguyễn Thị Hà (gói Miễn phí) — bộ nhận diện tông xanh dương dựng từ mẫu có sẵn cho môn Toán Tiểu học</w:t>
      </w:r>
    </w:p>
    <w:p>
      <w:pPr>
        <w:pStyle w:val="Heading3"/>
      </w:pPr>
      <w:r>
        <w:rPr>
          <w:rFonts w:ascii="Times New Roman" w:hAnsi="Times New Roman" w:eastAsia="Times New Roman"/>
          <w:b/>
          <w:color w:val="000000"/>
          <w:sz w:val="28"/>
        </w:rPr>
        <w:t>4.2.2 Giảng viên gói Trả phí — thầy Nguyễn Đình Nhì</w:t>
      </w:r>
    </w:p>
    <w:p>
      <w:pPr>
        <w:spacing w:line="288" w:lineRule="auto"/>
        <w:ind w:firstLine="567"/>
        <w:jc w:val="both"/>
      </w:pPr>
      <w:r>
        <w:rPr>
          <w:rFonts w:ascii="Times New Roman" w:hAnsi="Times New Roman" w:eastAsia="Times New Roman"/>
          <w:b w:val="0"/>
          <w:i w:val="0"/>
          <w:sz w:val="26"/>
        </w:rPr>
        <w:t>Thầy Nguyễn Đình Nhì dạy thêm môn Hóa học bậc trung học cơ sở với quy mô học viên lớn hơn và nhu cầu xây dựng thương hiệu cá nhân chuyên nghiệp. Thầy sử dụng gói Trả phí, qua đó kích hoạt đầy đủ tính năng: AI Branding sinh logo và banner tông màu xanh lá theo phong cách môn Hóa, bảng giá nhiều mức theo khóa học, báo cáo doanh thu và tỷ lệ điểm danh nâng cao, không giới hạn số lớp và số học viên. Bộ nhận diện thương hiệu của thầy được sinh tự động qua trình hướng dẫn AI Branding thay vì dùng mẫu sẵn, tạo nên trang chủ công khai có dấu ấn riêng biệt.</w:t>
      </w:r>
    </w:p>
    <w:p>
      <w:pPr>
        <w:spacing w:before="120" w:after="60"/>
        <w:jc w:val="center"/>
      </w:pPr>
      <w:r>
        <w:drawing>
          <wp:inline xmlns:a="http://schemas.openxmlformats.org/drawingml/2006/main" xmlns:pic="http://schemas.openxmlformats.org/drawingml/2006/picture">
            <wp:extent cx="5760000" cy="3600000"/>
            <wp:docPr id="31" name="Picture 31"/>
            <wp:cNvGraphicFramePr>
              <a:graphicFrameLocks noChangeAspect="1"/>
            </wp:cNvGraphicFramePr>
            <a:graphic>
              <a:graphicData uri="http://schemas.openxmlformats.org/drawingml/2006/picture">
                <pic:pic>
                  <pic:nvPicPr>
                    <pic:cNvPr id="0" name="nhi-homepage-green-branded.png"/>
                    <pic:cNvPicPr/>
                  </pic:nvPicPr>
                  <pic:blipFill>
                    <a:blip r:embed="rId39"/>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4.4</w:t>
      </w:r>
      <w:r>
        <w:rPr>
          <w:rFonts w:ascii="Times New Roman" w:hAnsi="Times New Roman" w:eastAsia="Times New Roman"/>
          <w:sz w:val="26"/>
        </w:rPr>
        <w:t>. Trang chủ công khai của thầy Nguyễn Đình Nhì (gói Trả phí) — bộ nhận diện tông xanh lá sinh tự động qua AI Branding cho môn Hóa học THCS, tương phản với mẫu dựng sẵn của gói Miễn phí (Hình 4.3)</w:t>
      </w:r>
    </w:p>
    <w:p>
      <w:pPr>
        <w:pStyle w:val="Heading3"/>
      </w:pPr>
      <w:r>
        <w:rPr>
          <w:rFonts w:ascii="Times New Roman" w:hAnsi="Times New Roman" w:eastAsia="Times New Roman"/>
          <w:b/>
          <w:color w:val="000000"/>
          <w:sz w:val="28"/>
        </w:rPr>
        <w:t>4.2.3 So sánh hai gói dịch vụ</w:t>
      </w:r>
    </w:p>
    <w:p>
      <w:pPr>
        <w:spacing w:line="288" w:lineRule="auto"/>
        <w:ind w:firstLine="567"/>
        <w:jc w:val="both"/>
      </w:pPr>
      <w:r>
        <w:rPr>
          <w:rFonts w:ascii="Times New Roman" w:hAnsi="Times New Roman" w:eastAsia="Times New Roman"/>
          <w:b w:val="0"/>
          <w:i w:val="0"/>
          <w:sz w:val="26"/>
        </w:rPr>
        <w:t>Bảng 4.1 tổng hợp khác biệt giữa hai gói qua hai trường hợp vận hành thực tế.</w:t>
      </w:r>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So sánh gói Miễn phí và gói Trả phí qua hai giảng viên độc lập</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Gói Miễn phí (cô Hà)</w:t>
            </w:r>
          </w:p>
        </w:tc>
        <w:tc>
          <w:tcPr>
            <w:tcW w:type="dxa" w:w="2880"/>
          </w:tcPr>
          <w:p>
            <w:pPr>
              <w:jc w:val="center"/>
            </w:pPr>
            <w:r>
              <w:rPr>
                <w:b/>
                <w:sz w:val="24"/>
              </w:rPr>
            </w:r>
            <w:r>
              <w:rPr>
                <w:rFonts w:ascii="Times New Roman" w:hAnsi="Times New Roman" w:eastAsia="Times New Roman"/>
                <w:b/>
                <w:i w:val="0"/>
                <w:sz w:val="24"/>
              </w:rPr>
              <w:t>Gói Trả phí (thầy Nhì)</w:t>
            </w:r>
          </w:p>
        </w:tc>
      </w:tr>
      <w:tr>
        <w:tc>
          <w:tcPr>
            <w:tcW w:type="dxa" w:w="2880"/>
          </w:tcPr>
          <w:p>
            <w:r>
              <w:rPr>
                <w:sz w:val="24"/>
              </w:rPr>
            </w:r>
            <w:r>
              <w:rPr>
                <w:rFonts w:ascii="Times New Roman" w:hAnsi="Times New Roman" w:eastAsia="Times New Roman"/>
                <w:b w:val="0"/>
                <w:i w:val="0"/>
                <w:sz w:val="24"/>
              </w:rPr>
              <w:t>Số lớp / học viên</w:t>
            </w:r>
          </w:p>
        </w:tc>
        <w:tc>
          <w:tcPr>
            <w:tcW w:type="dxa" w:w="2880"/>
          </w:tcPr>
          <w:p>
            <w:r>
              <w:rPr>
                <w:sz w:val="24"/>
              </w:rPr>
            </w:r>
            <w:r>
              <w:rPr>
                <w:rFonts w:ascii="Times New Roman" w:hAnsi="Times New Roman" w:eastAsia="Times New Roman"/>
                <w:b w:val="0"/>
                <w:i w:val="0"/>
                <w:sz w:val="24"/>
              </w:rPr>
              <w:t>Giới hạn</w:t>
            </w:r>
          </w:p>
        </w:tc>
        <w:tc>
          <w:tcPr>
            <w:tcW w:type="dxa" w:w="2880"/>
          </w:tcPr>
          <w:p>
            <w:r>
              <w:rPr>
                <w:sz w:val="24"/>
              </w:rPr>
            </w:r>
            <w:r>
              <w:rPr>
                <w:rFonts w:ascii="Times New Roman" w:hAnsi="Times New Roman" w:eastAsia="Times New Roman"/>
                <w:b w:val="0"/>
                <w:i w:val="0"/>
                <w:sz w:val="24"/>
              </w:rPr>
              <w:t>Không giới hạn</w:t>
            </w:r>
          </w:p>
        </w:tc>
      </w:tr>
      <w:tr>
        <w:tc>
          <w:tcPr>
            <w:tcW w:type="dxa" w:w="2880"/>
          </w:tcPr>
          <w:p>
            <w:r>
              <w:rPr>
                <w:sz w:val="24"/>
              </w:rPr>
            </w:r>
            <w:r>
              <w:rPr>
                <w:rFonts w:ascii="Times New Roman" w:hAnsi="Times New Roman" w:eastAsia="Times New Roman"/>
                <w:b w:val="0"/>
                <w:i w:val="0"/>
                <w:sz w:val="24"/>
              </w:rPr>
              <w:t>AI Branding (logo, banner)</w:t>
            </w:r>
          </w:p>
        </w:tc>
        <w:tc>
          <w:tcPr>
            <w:tcW w:type="dxa" w:w="2880"/>
          </w:tcPr>
          <w:p>
            <w:r>
              <w:rPr>
                <w:sz w:val="24"/>
              </w:rPr>
            </w:r>
            <w:r>
              <w:rPr>
                <w:rFonts w:ascii="Times New Roman" w:hAnsi="Times New Roman" w:eastAsia="Times New Roman"/>
                <w:b w:val="0"/>
                <w:i w:val="0"/>
                <w:sz w:val="24"/>
              </w:rPr>
              <w:t>Không — dùng mẫu sẵn</w:t>
            </w:r>
          </w:p>
        </w:tc>
        <w:tc>
          <w:tcPr>
            <w:tcW w:type="dxa" w:w="2880"/>
          </w:tcPr>
          <w:p>
            <w:r>
              <w:rPr>
                <w:sz w:val="24"/>
              </w:rPr>
            </w:r>
            <w:r>
              <w:rPr>
                <w:rFonts w:ascii="Times New Roman" w:hAnsi="Times New Roman" w:eastAsia="Times New Roman"/>
                <w:b w:val="0"/>
                <w:i w:val="0"/>
                <w:sz w:val="24"/>
              </w:rPr>
              <w:t>Có — sinh tự động qua AI</w:t>
            </w:r>
          </w:p>
        </w:tc>
      </w:tr>
      <w:tr>
        <w:tc>
          <w:tcPr>
            <w:tcW w:type="dxa" w:w="2880"/>
          </w:tcPr>
          <w:p>
            <w:r>
              <w:rPr>
                <w:sz w:val="24"/>
              </w:rPr>
            </w:r>
            <w:r>
              <w:rPr>
                <w:rFonts w:ascii="Times New Roman" w:hAnsi="Times New Roman" w:eastAsia="Times New Roman"/>
                <w:b w:val="0"/>
                <w:i w:val="0"/>
                <w:sz w:val="24"/>
              </w:rPr>
              <w:t>Báo cáo nâng cao</w:t>
            </w:r>
          </w:p>
        </w:tc>
        <w:tc>
          <w:tcPr>
            <w:tcW w:type="dxa" w:w="2880"/>
          </w:tcPr>
          <w:p>
            <w:r>
              <w:rPr>
                <w:sz w:val="24"/>
              </w:rPr>
            </w:r>
            <w:r>
              <w:rPr>
                <w:rFonts w:ascii="Times New Roman" w:hAnsi="Times New Roman" w:eastAsia="Times New Roman"/>
                <w:b w:val="0"/>
                <w:i w:val="0"/>
                <w:sz w:val="24"/>
              </w:rPr>
              <w:t>Không</w:t>
            </w:r>
          </w:p>
        </w:tc>
        <w:tc>
          <w:tcPr>
            <w:tcW w:type="dxa" w:w="2880"/>
          </w:tcPr>
          <w:p>
            <w:r>
              <w:rPr>
                <w:sz w:val="24"/>
              </w:rPr>
            </w:r>
            <w:r>
              <w:rPr>
                <w:rFonts w:ascii="Times New Roman" w:hAnsi="Times New Roman" w:eastAsia="Times New Roman"/>
                <w:b w:val="0"/>
                <w:i w:val="0"/>
                <w:sz w:val="24"/>
              </w:rPr>
              <w:t>Có (doanh thu, tỷ lệ điểm danh)</w:t>
            </w:r>
          </w:p>
        </w:tc>
      </w:tr>
      <w:tr>
        <w:tc>
          <w:tcPr>
            <w:tcW w:type="dxa" w:w="2880"/>
          </w:tcPr>
          <w:p>
            <w:r>
              <w:rPr>
                <w:sz w:val="24"/>
              </w:rPr>
            </w:r>
            <w:r>
              <w:rPr>
                <w:rFonts w:ascii="Times New Roman" w:hAnsi="Times New Roman" w:eastAsia="Times New Roman"/>
                <w:b w:val="0"/>
                <w:i w:val="0"/>
                <w:sz w:val="24"/>
              </w:rPr>
              <w:t>Tùy biến theme</w:t>
            </w:r>
          </w:p>
        </w:tc>
        <w:tc>
          <w:tcPr>
            <w:tcW w:type="dxa" w:w="2880"/>
          </w:tcPr>
          <w:p>
            <w:r>
              <w:rPr>
                <w:sz w:val="24"/>
              </w:rPr>
            </w:r>
            <w:r>
              <w:rPr>
                <w:rFonts w:ascii="Times New Roman" w:hAnsi="Times New Roman" w:eastAsia="Times New Roman"/>
                <w:b w:val="0"/>
                <w:i w:val="0"/>
                <w:sz w:val="24"/>
              </w:rPr>
              <w:t>Cơ bản (chọn mẫu)</w:t>
            </w:r>
          </w:p>
        </w:tc>
        <w:tc>
          <w:tcPr>
            <w:tcW w:type="dxa" w:w="2880"/>
          </w:tcPr>
          <w:p>
            <w:r>
              <w:rPr>
                <w:sz w:val="24"/>
              </w:rPr>
            </w:r>
            <w:r>
              <w:rPr>
                <w:rFonts w:ascii="Times New Roman" w:hAnsi="Times New Roman" w:eastAsia="Times New Roman"/>
                <w:b w:val="0"/>
                <w:i w:val="0"/>
                <w:sz w:val="24"/>
              </w:rPr>
              <w:t>Đầy đủ (tông màu riêng)</w:t>
            </w:r>
          </w:p>
        </w:tc>
      </w:tr>
      <w:tr>
        <w:tc>
          <w:tcPr>
            <w:tcW w:type="dxa" w:w="2880"/>
          </w:tcPr>
          <w:p>
            <w:r>
              <w:rPr>
                <w:sz w:val="24"/>
              </w:rPr>
            </w:r>
            <w:r>
              <w:rPr>
                <w:rFonts w:ascii="Times New Roman" w:hAnsi="Times New Roman" w:eastAsia="Times New Roman"/>
                <w:b w:val="0"/>
                <w:i w:val="0"/>
                <w:sz w:val="24"/>
              </w:rPr>
              <w:t>Học phí nền tảng</w:t>
            </w:r>
          </w:p>
        </w:tc>
        <w:tc>
          <w:tcPr>
            <w:tcW w:type="dxa" w:w="2880"/>
          </w:tcPr>
          <w:p>
            <w:r>
              <w:rPr>
                <w:sz w:val="24"/>
              </w:rPr>
            </w:r>
            <w:r>
              <w:rPr>
                <w:rFonts w:ascii="Times New Roman" w:hAnsi="Times New Roman" w:eastAsia="Times New Roman"/>
                <w:b w:val="0"/>
                <w:i w:val="0"/>
                <w:sz w:val="24"/>
              </w:rPr>
              <w:t>0đ</w:t>
            </w:r>
          </w:p>
        </w:tc>
        <w:tc>
          <w:tcPr>
            <w:tcW w:type="dxa" w:w="2880"/>
          </w:tcPr>
          <w:p>
            <w:r>
              <w:rPr>
                <w:sz w:val="24"/>
              </w:rPr>
            </w:r>
            <w:r>
              <w:rPr>
                <w:rFonts w:ascii="Times New Roman" w:hAnsi="Times New Roman" w:eastAsia="Times New Roman"/>
                <w:b w:val="0"/>
                <w:i w:val="0"/>
                <w:sz w:val="24"/>
              </w:rPr>
              <w:t>Theo gói trả phí</w:t>
            </w:r>
          </w:p>
        </w:tc>
      </w:tr>
    </w:tbl>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triển khai hiện tại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triển khai hiện tại chỉ phục vụ ba nhóm người dùng (giáo viên độc lập, chủ sở hữu trung tâm, quản lý trung tâm); nhóm phụ huynh và học viên thuộc phân khúc K-12 thuộc lộ trình phát triển sau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phạm vi triển khai hiện tại mới có hai giáo viên độc lập (một gói miễn phí, một gói trả phí)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cơ bản với nhà cung cấp OpenAI (GPT-4 Vision sinh mô tả + DALL-E 3 sinh ảnh) cho môi trường vận hành và Ollama tự host cho môi trường phát triển; các phương án multi-vendor failover và bộ phân loại nội dung an toàn (NSFW) thuộc lộ trình phát triển sau.</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Hoàn thiện thanh toán trực tuyến (mở rộng VNPay sang MoMo/ZaloPay), hợp tác MISA MeInvoice cho hóa đơn điện tử theo Thông tư 78/2021/TT-BTC, mở rộng quy mô người dùng khi sản phẩm trưởng thành.</w:t>
      </w:r>
    </w:p>
    <w:p>
      <w:pPr>
        <w:pStyle w:val="ListBullet"/>
        <w:spacing w:line="288" w:lineRule="auto"/>
        <w:ind w:left="850" w:hanging="283"/>
      </w:pPr>
      <w:r>
        <w:rPr>
          <w:rFonts w:ascii="Times New Roman" w:hAnsi="Times New Roman" w:eastAsia="Times New Roman"/>
          <w:b w:val="0"/>
          <w:i w:val="0"/>
          <w:sz w:val="26"/>
        </w:rPr>
        <w:t>Về hạ tầng và bảo mật: kiến trúc đa vùng (Singapore kết hợp Hà Nội để bản địa hóa dữ liệu theo Nghị định 53/2022), nâng cấp AI Quality Gate với cơ chế dự phòng đa nhà cung cấp (multi-vendor failover), và ứng dụng di động native trên iOS và Android.</w:t>
      </w:r>
    </w:p>
    <w:p>
      <w:pPr>
        <w:pStyle w:val="ListBullet"/>
        <w:spacing w:line="288" w:lineRule="auto"/>
        <w:ind w:left="850" w:hanging="283"/>
      </w:pPr>
      <w:r>
        <w:rPr>
          <w:rFonts w:ascii="Times New Roman" w:hAnsi="Times New Roman" w:eastAsia="Times New Roman"/>
          <w:b w:val="0"/>
          <w:i w:val="0"/>
          <w:sz w:val="26"/>
        </w:rPr>
        <w:t>Về mở rộng thị trường: hướng tới khối trường công lập K-12, kèm theo việc bổ nhiệm cán bộ bảo vệ dữ liệu (DPO) chính thức và thực hiện đánh giá tác động bảo vệ dữ liệu (DPIA) cho dữ liệu trẻ em theo Điều 26 Luật Bảo vệ Dữ liệu Cá nhân.</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 xml:space="preserve">BeeClass, "BeeClass — Ứng dụng quản lý điểm thi đua của học sinh (Lớp học Hạnh phúc)," 2024. [Online]. Available: </w:t>
      </w:r>
      <w:r>
        <w:rPr>
          <w:rFonts w:ascii="Times New Roman" w:hAnsi="Times New Roman" w:eastAsia="Times New Roman"/>
          <w:b w:val="0"/>
          <w:i w:val="0"/>
          <w:color w:val="0000FF"/>
          <w:sz w:val="26"/>
          <w:u w:val="single"/>
        </w:rPr>
        <w:t>https://beeclass.net/</w:t>
      </w:r>
      <w:r>
        <w:rPr>
          <w:rFonts w:ascii="Times New Roman" w:hAnsi="Times New Roman" w:eastAsia="Times New Roman"/>
          <w:b w:val="0"/>
          <w:i w:val="0"/>
          <w:sz w:val="26"/>
        </w:rPr>
        <w:t>. [Accessed 2026-05-30].</w:t>
      </w:r>
    </w:p>
    <w:p>
      <w:pPr>
        <w:spacing w:after="120" w:line="276" w:lineRule="auto"/>
        <w:ind w:left="357" w:hanging="357"/>
        <w:jc w:val="both"/>
      </w:pPr>
      <w:r>
        <w:rPr>
          <w:rFonts w:ascii="Times New Roman" w:hAnsi="Times New Roman" w:eastAsia="Times New Roman"/>
          <w:b w:val="0"/>
          <w:i w:val="0"/>
          <w:sz w:val="26"/>
        </w:rPr>
        <w:t xml:space="preserve">[40] </w:t>
      </w:r>
      <w:r>
        <w:rPr>
          <w:rFonts w:ascii="Times New Roman" w:hAnsi="Times New Roman" w:eastAsia="Times New Roman"/>
          <w:b w:val="0"/>
          <w:i w:val="0"/>
          <w:sz w:val="26"/>
        </w:rPr>
        <w:t xml:space="preserve">M. Cohn, </w:t>
      </w:r>
      <w:r>
        <w:rPr>
          <w:rFonts w:ascii="Times New Roman" w:hAnsi="Times New Roman" w:eastAsia="Times New Roman"/>
          <w:b w:val="0"/>
          <w:i/>
          <w:sz w:val="26"/>
        </w:rPr>
        <w:t>Succeeding with Agile: Software Development Using Scrum</w:t>
      </w:r>
      <w:r>
        <w:rPr>
          <w:rFonts w:ascii="Times New Roman" w:hAnsi="Times New Roman" w:eastAsia="Times New Roman"/>
          <w:b w:val="0"/>
          <w:i w:val="0"/>
          <w:sz w:val="26"/>
        </w:rPr>
        <w:t>. Upper Saddle River, NJ: Addison-Wesley, 2009.</w:t>
      </w:r>
    </w:p>
    <w:p>
      <w:pPr>
        <w:spacing w:after="120" w:line="276" w:lineRule="auto"/>
        <w:ind w:left="357" w:hanging="357"/>
        <w:jc w:val="both"/>
      </w:pPr>
      <w:r>
        <w:rPr>
          <w:rFonts w:ascii="Times New Roman" w:hAnsi="Times New Roman" w:eastAsia="Times New Roman"/>
          <w:b w:val="0"/>
          <w:i w:val="0"/>
          <w:sz w:val="26"/>
        </w:rPr>
        <w:t xml:space="preserve">[41] </w:t>
      </w:r>
      <w:r>
        <w:rPr>
          <w:rFonts w:ascii="Times New Roman" w:hAnsi="Times New Roman" w:eastAsia="Times New Roman"/>
          <w:b w:val="0"/>
          <w:i w:val="0"/>
          <w:sz w:val="26"/>
        </w:rPr>
        <w:t xml:space="preserve">Amazon Web Services, "Amazon Compute Service Level Agreement (EC2 &amp; RDS)," 2024. [Online]. Available: </w:t>
      </w:r>
      <w:r>
        <w:rPr>
          <w:rFonts w:ascii="Times New Roman" w:hAnsi="Times New Roman" w:eastAsia="Times New Roman"/>
          <w:b w:val="0"/>
          <w:i w:val="0"/>
          <w:color w:val="0000FF"/>
          <w:sz w:val="26"/>
          <w:u w:val="single"/>
        </w:rPr>
        <w:t>https://aws.amazon.com/compute/sla/</w:t>
      </w:r>
      <w:r>
        <w:rPr>
          <w:rFonts w:ascii="Times New Roman" w:hAnsi="Times New Roman" w:eastAsia="Times New Roman"/>
          <w:b w:val="0"/>
          <w:i w:val="0"/>
          <w:sz w:val="26"/>
        </w:rPr>
        <w:t>. [Accessed 2026-05-30].</w:t>
      </w:r>
    </w:p>
    <w:sectPr w:rsidR="00FC693F" w:rsidRPr="0006063C" w:rsidSect="00034616">
      <w:headerReference w:type="default" r:id="rId43"/>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header" Target="header3.xml"/><Relationship Id="rId43"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