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7"/>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Pr>
        <w:keepNext/>
        <w:spacing w:after="0"/>
        <w:jc w:val="right"/>
      </w:pPr>
      <w:r>
        <w:rPr>
          <w:rFonts w:ascii="Times New Roman" w:hAnsi="Times New Roman" w:eastAsia="Times New Roman"/>
          <w:b w:val="0"/>
          <w:i/>
          <w:sz w:val="26"/>
        </w:rPr>
        <w:t>Hà Nội, ngày … tháng … năm 2026</w:t>
      </w:r>
    </w:p>
    <w:p>
      <w:pPr>
        <w:keepNext/>
        <w:spacing w:after="0"/>
        <w:jc w:val="right"/>
      </w:pPr>
      <w:r>
        <w:rPr>
          <w:rFonts w:ascii="Times New Roman" w:hAnsi="Times New Roman" w:eastAsia="Times New Roman"/>
          <w:b/>
          <w:i w:val="0"/>
          <w:sz w:val="26"/>
        </w:rPr>
        <w:t>Sinh viên thực hiện</w:t>
      </w:r>
    </w:p>
    <w:p/>
    <w:p>
      <w:pPr>
        <w:keepNext w:val="0"/>
        <w:jc w:val="right"/>
      </w:pPr>
      <w:r>
        <w:rPr>
          <w:rFonts w:ascii="Times New Roman" w:hAnsi="Times New Roman" w:eastAsia="Times New Roman"/>
          <w:b/>
          <w:i w:val="0"/>
          <w:sz w:val="26"/>
        </w:rPr>
        <w:t>Nguyễn Văn Kiệt</w:t>
      </w:r>
    </w:p>
    <w:p>
      <w:pPr>
        <w:sectPr>
          <w:headerReference w:type="default" r:id="rId38"/>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9"/>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1.5</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7" name="Picture 7"/>
            <wp:cNvGraphicFramePr>
              <a:graphicFrameLocks noChangeAspect="1"/>
            </wp:cNvGraphicFramePr>
            <a:graphic>
              <a:graphicData uri="http://schemas.openxmlformats.org/drawingml/2006/picture">
                <pic:pic>
                  <pic:nvPicPr>
                    <pic:cNvPr id="0" name="mermaid-973d5e0c88ffff67.png"/>
                    <pic:cNvPicPr/>
                  </pic:nvPicPr>
                  <pic:blipFill>
                    <a:blip r:embed="rId15"/>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8" name="Picture 8"/>
            <wp:cNvGraphicFramePr>
              <a:graphicFrameLocks noChangeAspect="1"/>
            </wp:cNvGraphicFramePr>
            <a:graphic>
              <a:graphicData uri="http://schemas.openxmlformats.org/drawingml/2006/picture">
                <pic:pic>
                  <pic:nvPicPr>
                    <pic:cNvPr id="0" name="mermaid-8421f8361e01c736.png"/>
                    <pic:cNvPicPr/>
                  </pic:nvPicPr>
                  <pic:blipFill>
                    <a:blip r:embed="rId16"/>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10" name="Picture 10"/>
            <wp:cNvGraphicFramePr>
              <a:graphicFrameLocks noChangeAspect="1"/>
            </wp:cNvGraphicFramePr>
            <a:graphic>
              <a:graphicData uri="http://schemas.openxmlformats.org/drawingml/2006/picture">
                <pic:pic>
                  <pic:nvPicPr>
                    <pic:cNvPr id="0" name="mermaid-937a5ae77a6cbd8c.png"/>
                    <pic:cNvPicPr/>
                  </pic:nvPicPr>
                  <pic:blipFill>
                    <a:blip r:embed="rId18"/>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1" name="Picture 11"/>
            <wp:cNvGraphicFramePr>
              <a:graphicFrameLocks noChangeAspect="1"/>
            </wp:cNvGraphicFramePr>
            <a:graphic>
              <a:graphicData uri="http://schemas.openxmlformats.org/drawingml/2006/picture">
                <pic:pic>
                  <pic:nvPicPr>
                    <pic:cNvPr id="0" name="mermaid-3352d2cdf91ac76b.png"/>
                    <pic:cNvPicPr/>
                  </pic:nvPicPr>
                  <pic:blipFill>
                    <a:blip r:embed="rId19"/>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line="288" w:lineRule="auto"/>
        <w:ind w:firstLine="567"/>
        <w:jc w:val="both"/>
      </w:pPr>
      <w:r>
        <w:rPr>
          <w:rFonts w:ascii="Times New Roman" w:hAnsi="Times New Roman" w:eastAsia="Times New Roman"/>
          <w:b w:val="0"/>
          <w:i w:val="0"/>
          <w:sz w:val="26"/>
        </w:rPr>
        <w:t>Hình 2.4c mô tả chuỗi định tuyến tổng thể từ trình duyệt đến dữ liệu landing của tenant.</w:t>
      </w:r>
    </w:p>
    <w:p>
      <w:pPr>
        <w:pageBreakBefore/>
        <w:spacing w:before="120" w:after="120"/>
        <w:jc w:val="center"/>
      </w:pPr>
      <w:r>
        <w:drawing>
          <wp:inline xmlns:a="http://schemas.openxmlformats.org/drawingml/2006/main" xmlns:pic="http://schemas.openxmlformats.org/drawingml/2006/picture">
            <wp:extent cx="3352541" cy="6480000"/>
            <wp:docPr id="12" name="Picture 12"/>
            <wp:cNvGraphicFramePr>
              <a:graphicFrameLocks noChangeAspect="1"/>
            </wp:cNvGraphicFramePr>
            <a:graphic>
              <a:graphicData uri="http://schemas.openxmlformats.org/drawingml/2006/picture">
                <pic:pic>
                  <pic:nvPicPr>
                    <pic:cNvPr id="0" name="mermaid-6c1e64d5b93b5ba2.png"/>
                    <pic:cNvPicPr/>
                  </pic:nvPicPr>
                  <pic:blipFill>
                    <a:blip r:embed="rId20"/>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p>
      <w:pPr>
        <w:spacing w:line="288" w:lineRule="auto"/>
        <w:ind w:firstLine="567"/>
        <w:jc w:val="both"/>
      </w:pPr>
      <w:r>
        <w:rPr>
          <w:rFonts w:ascii="Times New Roman" w:hAnsi="Times New Roman" w:eastAsia="Times New Roman"/>
          <w:b w:val="0"/>
          <w:i w:val="0"/>
          <w:sz w:val="26"/>
        </w:rPr>
        <w:t>Bảng 2.9 so sánh hai phương thức truy cập theo các tiêu chí cấp phát, DNS, chứng chỉ SSL và xác minh quyền sở hữu.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So sánh subdomain và tên miền riêng trong cơ chế định tuyến đa tenant</w:t>
      </w:r>
    </w:p>
    <w:p>
      <w:pPr>
        <w:spacing w:line="288" w:lineRule="auto"/>
        <w:ind w:firstLine="567"/>
        <w:jc w:val="both"/>
      </w:pPr>
      <w:r>
        <w:rPr>
          <w:rFonts w:ascii="Times New Roman" w:hAnsi="Times New Roman" w:eastAsia="Times New Roman"/>
          <w:b w:val="0"/>
          <w:i w:val="0"/>
          <w:sz w:val="26"/>
        </w:rPr>
        <w:t>Hình 2.4d trình bày tuần tự phân giải tenant theo subdomain, từ yêu cầu trình duyệt đến dữ liệu landing được lọc bởi RLS.</w:t>
      </w:r>
    </w:p>
    <w:p>
      <w:pPr>
        <w:spacing w:before="120" w:after="120"/>
        <w:jc w:val="center"/>
      </w:pPr>
      <w:r>
        <w:drawing>
          <wp:inline xmlns:a="http://schemas.openxmlformats.org/drawingml/2006/main" xmlns:pic="http://schemas.openxmlformats.org/drawingml/2006/picture">
            <wp:extent cx="5760000" cy="2264898"/>
            <wp:docPr id="13" name="Picture 13"/>
            <wp:cNvGraphicFramePr>
              <a:graphicFrameLocks noChangeAspect="1"/>
            </wp:cNvGraphicFramePr>
            <a:graphic>
              <a:graphicData uri="http://schemas.openxmlformats.org/drawingml/2006/picture">
                <pic:pic>
                  <pic:nvPicPr>
                    <pic:cNvPr id="0" name="mermaid-7dabbf6c19ae66fe.png"/>
                    <pic:cNvPicPr/>
                  </pic:nvPicPr>
                  <pic:blipFill>
                    <a:blip r:embed="rId21"/>
                    <a:stretch>
                      <a:fillRect/>
                    </a:stretch>
                  </pic:blipFill>
                  <pic:spPr>
                    <a:xfrm>
                      <a:off x="0" y="0"/>
                      <a:ext cx="5760000" cy="226489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 </w:t>
      </w:r>
      <w:r>
        <w:rPr>
          <w:rFonts w:ascii="Times New Roman" w:hAnsi="Times New Roman" w:eastAsia="Times New Roman"/>
          <w:b w:val="0"/>
          <w:i/>
          <w:sz w:val="26"/>
        </w:rPr>
        <w:t>Nguồn: tác giả tự xây dựng</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4" name="Picture 14"/>
            <wp:cNvGraphicFramePr>
              <a:graphicFrameLocks noChangeAspect="1"/>
            </wp:cNvGraphicFramePr>
            <a:graphic>
              <a:graphicData uri="http://schemas.openxmlformats.org/drawingml/2006/picture">
                <pic:pic>
                  <pic:nvPicPr>
                    <pic:cNvPr id="0" name="mermaid-cfe5ec891d00c4b9.png"/>
                    <pic:cNvPicPr/>
                  </pic:nvPicPr>
                  <pic:blipFill>
                    <a:blip r:embed="rId22"/>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5" name="Picture 15"/>
            <wp:cNvGraphicFramePr>
              <a:graphicFrameLocks noChangeAspect="1"/>
            </wp:cNvGraphicFramePr>
            <a:graphic>
              <a:graphicData uri="http://schemas.openxmlformats.org/drawingml/2006/picture">
                <pic:pic>
                  <pic:nvPicPr>
                    <pic:cNvPr id="0" name="mermaid-f005980df8c8a241.png"/>
                    <pic:cNvPicPr/>
                  </pic:nvPicPr>
                  <pic:blipFill>
                    <a:blip r:embed="rId23"/>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6" name="Picture 16"/>
            <wp:cNvGraphicFramePr>
              <a:graphicFrameLocks noChangeAspect="1"/>
            </wp:cNvGraphicFramePr>
            <a:graphic>
              <a:graphicData uri="http://schemas.openxmlformats.org/drawingml/2006/picture">
                <pic:pic>
                  <pic:nvPicPr>
                    <pic:cNvPr id="0" name="mermaid-c1c711fb26610c4d.png"/>
                    <pic:cNvPicPr/>
                  </pic:nvPicPr>
                  <pic:blipFill>
                    <a:blip r:embed="rId24"/>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7" name="Picture 17"/>
            <wp:cNvGraphicFramePr>
              <a:graphicFrameLocks noChangeAspect="1"/>
            </wp:cNvGraphicFramePr>
            <a:graphic>
              <a:graphicData uri="http://schemas.openxmlformats.org/drawingml/2006/picture">
                <pic:pic>
                  <pic:nvPicPr>
                    <pic:cNvPr id="0" name="mermaid-b7796a844892db44.png"/>
                    <pic:cNvPicPr/>
                  </pic:nvPicPr>
                  <pic:blipFill>
                    <a:blip r:embed="rId25"/>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8" name="Picture 18"/>
            <wp:cNvGraphicFramePr>
              <a:graphicFrameLocks noChangeAspect="1"/>
            </wp:cNvGraphicFramePr>
            <a:graphic>
              <a:graphicData uri="http://schemas.openxmlformats.org/drawingml/2006/picture">
                <pic:pic>
                  <pic:nvPicPr>
                    <pic:cNvPr id="0" name="mermaid-3e2649c3cbb965e5.png"/>
                    <pic:cNvPicPr/>
                  </pic:nvPicPr>
                  <pic:blipFill>
                    <a:blip r:embed="rId26"/>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pageBreakBefore/>
        <w:spacing w:before="120" w:after="60"/>
        <w:jc w:val="center"/>
      </w:pPr>
      <w:r>
        <w:drawing>
          <wp:inline xmlns:a="http://schemas.openxmlformats.org/drawingml/2006/main" xmlns:pic="http://schemas.openxmlformats.org/drawingml/2006/picture">
            <wp:extent cx="1975275" cy="6480000"/>
            <wp:docPr id="19" name="Picture 19"/>
            <wp:cNvGraphicFramePr>
              <a:graphicFrameLocks noChangeAspect="1"/>
            </wp:cNvGraphicFramePr>
            <a:graphic>
              <a:graphicData uri="http://schemas.openxmlformats.org/drawingml/2006/picture">
                <pic:pic>
                  <pic:nvPicPr>
                    <pic:cNvPr id="0" name="12-public-homepage-sky-branded.png"/>
                    <pic:cNvPicPr/>
                  </pic:nvPicPr>
                  <pic:blipFill>
                    <a:blip r:embed="rId27"/>
                    <a:stretch>
                      <a:fillRect/>
                    </a:stretch>
                  </pic:blipFill>
                  <pic:spPr>
                    <a:xfrm>
                      <a:off x="0" y="0"/>
                      <a:ext cx="1975275" cy="648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1-login-page.png"/>
                    <pic:cNvPicPr/>
                  </pic:nvPicPr>
                  <pic:blipFill>
                    <a:blip r:embed="rId28"/>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2-dashboard-overview-kpi-orange.png"/>
                    <pic:cNvPicPr/>
                  </pic:nvPicPr>
                  <pic:blipFill>
                    <a:blip r:embed="rId29"/>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trung tâm Sky Education (tên giả định) với bộ nhận diện thương hiệu riêng (tông màu cam chủ đạo, tên trung tâm và khẩu hiệu "Chuyên nghiệp &amp; Hiệu quả"). Trang được dựng theo cấu trúc nhiều khối: giới thiệu, tính năng nổi bật (Hệ thống LMS, Quản lý Học viên, Thanh toán &amp; Báo cáo), đội ngũ giáo viên, các chứng chỉ đào tạo (IELTS, TOEIC, Cambridge, VSTEP), bảng giá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2.800.000đ/tháng</w:t>
      </w:r>
      <w:r>
        <w:rPr>
          <w:rFonts w:ascii="Times New Roman" w:hAnsi="Times New Roman" w:eastAsia="Times New Roman"/>
          <w:b w:val="0"/>
          <w:i w:val="0"/>
          <w:sz w:val="26"/>
        </w:rPr>
        <w:t xml:space="preserve">, </w:t>
      </w:r>
      <w:r>
        <w:rPr>
          <w:rFonts w:ascii="Times New Roman" w:hAnsi="Times New Roman" w:eastAsia="Times New Roman"/>
          <w:b w:val="0"/>
          <w:i/>
          <w:sz w:val="26"/>
        </w:rPr>
        <w:t>4.500.000đ/tháng</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Chủ trung tâm nhập thông tin tài khoản đã được cấp sau khi yêu cầu truy cập được quản trị viên nền tảng duyệt. Bước thứ ba là dashboard tổng quan sau đăng nhập, hiển thị dòng tóm tắt "Trung tâm hiện có 78 học viên · 5 khóa học" cùng sáu thẻ chỉ số (Học viên, Khóa học, Giáo viên, Điểm danh hôm nay, Doanh thu tuần, Tỷ lệ giữ chân). Trong giai đoạn thử nghiệm, hai thẻ Học viên và Khóa học đã hiển thị số liệu thực (78 và 5),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3-branding-settings.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drawing>
          <wp:inline xmlns:a="http://schemas.openxmlformats.org/drawingml/2006/main" xmlns:pic="http://schemas.openxmlformats.org/drawingml/2006/picture">
            <wp:extent cx="5760000" cy="4000000"/>
            <wp:docPr id="23" name="Picture 23"/>
            <wp:cNvGraphicFramePr>
              <a:graphicFrameLocks noChangeAspect="1"/>
            </wp:cNvGraphicFramePr>
            <a:graphic>
              <a:graphicData uri="http://schemas.openxmlformats.org/drawingml/2006/picture">
                <pic:pic>
                  <pic:nvPicPr>
                    <pic:cNvPr id="0" name="05-students.png"/>
                    <pic:cNvPicPr/>
                  </pic:nvPicPr>
                  <pic:blipFill>
                    <a:blip r:embed="rId31"/>
                    <a:stretch>
                      <a:fillRect/>
                    </a:stretch>
                  </pic:blipFill>
                  <pic:spPr>
                    <a:xfrm>
                      <a:off x="0" y="0"/>
                      <a:ext cx="5760000" cy="40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Trong giai đoạn thử nghiệm, trung tâm mẫu đã có 78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trung tâm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trong giai đoạn thử nghiệm: trang chủ công khai mang thương hiệu riêng, tùy biến thương hiệu bằng AI, dashboard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tổng hợp số liệu) cùng các thống kê doanh thu. Các giao diện thuộc phạm vi giai đoạn tiếp theo gồm: cổng thông tin dành cho phụ huynh (persona P4), ứng dụng di động gốc (sau giai đoạn thương mại hóa), và quản lý học bạ K-12 (persona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24" name="Picture 24"/>
            <wp:cNvGraphicFramePr>
              <a:graphicFrameLocks noChangeAspect="1"/>
            </wp:cNvGraphicFramePr>
            <a:graphic>
              <a:graphicData uri="http://schemas.openxmlformats.org/drawingml/2006/picture">
                <pic:pic>
                  <pic:nvPicPr>
                    <pic:cNvPr id="0" name="mermaid-f91993f073a5141c.png"/>
                    <pic:cNvPicPr/>
                  </pic:nvPicPr>
                  <pic:blipFill>
                    <a:blip r:embed="rId32"/>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pageBreakBefore/>
        <w:spacing w:before="120" w:after="120"/>
        <w:jc w:val="center"/>
      </w:pPr>
      <w:r>
        <w:drawing>
          <wp:inline xmlns:a="http://schemas.openxmlformats.org/drawingml/2006/main" xmlns:pic="http://schemas.openxmlformats.org/drawingml/2006/picture">
            <wp:extent cx="3220303" cy="6480000"/>
            <wp:docPr id="25" name="Picture 25"/>
            <wp:cNvGraphicFramePr>
              <a:graphicFrameLocks noChangeAspect="1"/>
            </wp:cNvGraphicFramePr>
            <a:graphic>
              <a:graphicData uri="http://schemas.openxmlformats.org/drawingml/2006/picture">
                <pic:pic>
                  <pic:nvPicPr>
                    <pic:cNvPr id="0" name="plantuml-294497237df6674e.png"/>
                    <pic:cNvPicPr/>
                  </pic:nvPicPr>
                  <pic:blipFill>
                    <a:blip r:embed="rId33"/>
                    <a:stretch>
                      <a:fillRect/>
                    </a:stretch>
                  </pic:blipFill>
                  <pic:spPr>
                    <a:xfrm>
                      <a:off x="0" y="0"/>
                      <a:ext cx="3220303"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pageBreakBefore/>
        <w:spacing w:before="120" w:after="120"/>
        <w:jc w:val="center"/>
      </w:pPr>
      <w:r>
        <w:drawing>
          <wp:inline xmlns:a="http://schemas.openxmlformats.org/drawingml/2006/main" xmlns:pic="http://schemas.openxmlformats.org/drawingml/2006/picture">
            <wp:extent cx="5760000" cy="5004659"/>
            <wp:docPr id="26" name="Picture 26"/>
            <wp:cNvGraphicFramePr>
              <a:graphicFrameLocks noChangeAspect="1"/>
            </wp:cNvGraphicFramePr>
            <a:graphic>
              <a:graphicData uri="http://schemas.openxmlformats.org/drawingml/2006/picture">
                <pic:pic>
                  <pic:nvPicPr>
                    <pic:cNvPr id="0" name="plantuml-e506096e358f22e1.png"/>
                    <pic:cNvPicPr/>
                  </pic:nvPicPr>
                  <pic:blipFill>
                    <a:blip r:embed="rId34"/>
                    <a:stretch>
                      <a:fillRect/>
                    </a:stretch>
                  </pic:blipFill>
                  <pic:spPr>
                    <a:xfrm>
                      <a:off x="0" y="0"/>
                      <a:ext cx="5760000" cy="500465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ở giai đoạn thử nghiệm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7" name="Picture 27"/>
            <wp:cNvGraphicFramePr>
              <a:graphicFrameLocks noChangeAspect="1"/>
            </wp:cNvGraphicFramePr>
            <a:graphic>
              <a:graphicData uri="http://schemas.openxmlformats.org/drawingml/2006/picture">
                <pic:pic>
                  <pic:nvPicPr>
                    <pic:cNvPr id="0" name="mermaid-32cf937050deb6cc.png"/>
                    <pic:cNvPicPr/>
                  </pic:nvPicPr>
                  <pic:blipFill>
                    <a:blip r:embed="rId35"/>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8" name="Picture 28"/>
            <wp:cNvGraphicFramePr>
              <a:graphicFrameLocks noChangeAspect="1"/>
            </wp:cNvGraphicFramePr>
            <a:graphic>
              <a:graphicData uri="http://schemas.openxmlformats.org/drawingml/2006/picture">
                <pic:pic>
                  <pic:nvPicPr>
                    <pic:cNvPr id="0" name="mermaid-4d19df8175f80777.png"/>
                    <pic:cNvPicPr/>
                  </pic:nvPicPr>
                  <pic:blipFill>
                    <a:blip r:embed="rId36"/>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p>
      <w:pPr>
        <w:spacing w:line="288" w:lineRule="auto"/>
        <w:ind w:firstLine="567"/>
        <w:jc w:val="both"/>
      </w:pPr>
      <w:r>
        <w:rPr>
          <w:rFonts w:ascii="Times New Roman" w:hAnsi="Times New Roman" w:eastAsia="Times New Roman"/>
          <w:b w:val="0"/>
          <w:i w:val="0"/>
          <w:sz w:val="26"/>
        </w:rPr>
        <w:t xml:space="preserve">Bảng 4.1 liệt kê các bản ghi DNS chính được cấu hình cho tên miền </w:t>
      </w:r>
      <w:r>
        <w:rPr>
          <w:rFonts w:ascii="Times New Roman" w:hAnsi="Times New Roman" w:eastAsia="Times New Roman"/>
          <w:b w:val="0"/>
          <w:i/>
          <w:sz w:val="26"/>
        </w:rPr>
        <w:t>kitehub.me</w:t>
      </w:r>
      <w:r>
        <w:rPr>
          <w:rFonts w:ascii="Times New Roman" w:hAnsi="Times New Roman" w:eastAsia="Times New Roman"/>
          <w:b w:val="0"/>
          <w:i w:val="0"/>
          <w:sz w:val="26"/>
        </w:rP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resources terraform đã apply (CloudTrail captured); hai EC2 instance + RDS PostgreSQL multi-tenant schema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landing đa tenant; cơ chế phân giải Tenant → Domain → Landing (mục 2.2.6) hoạt động trên lớp gateway, được minh chứng qua trang chủ công khai của tenant mẫu Sky Education với giao diện thương hiệu riêng (mục 4.2);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40"/>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header" Target="header3.xml"/><Relationship Id="rId4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