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3"/>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4"/>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5"/>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để duy trì chất lượng mã nguồn và tài liệu trong suốt quá trình phát triển.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Phạm vi triển khai hiện tại của đồ án giới hạn theo hai chiều: không gian và đối tượng. Về không gian, hệ thống triển khai cloud trên AWS Singapore (ap-southeast-1) Free Tier, phục vụ nhóm trung tâm giáo dục thương mại tại Việt Nam (Hà Nội, TP. Hồ Chí Minh và các tỉnh lân cận), với hai giáo viên độc lập (một dùng gói miễn phí, một dùng gói trả phí)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thuộc lộ trình phát triển sau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phát triển hướng kiểm thử (TDD — Test-Driven Development, theo Beck 2002), thiết kế hướng miền (DDD — Domain-Driven Design, theo Evans 2003) và chu trình cải tiến liên tục Plan-Do-Check-Act (PDCA, theo Deming 1986) — tích hợp trong toàn bộ quy trình phát triển nhằm duy trì chất lượng mã nguồn và tài liệu.</w:t>
      </w:r>
    </w:p>
    <w:p>
      <w:pPr>
        <w:pStyle w:val="Heading2"/>
      </w:pPr>
      <w:r>
        <w:rPr>
          <w:rFonts w:ascii="Times New Roman" w:hAnsi="Times New Roman" w:eastAsia="Times New Roman"/>
          <w:b/>
          <w:color w:val="000000"/>
          <w:sz w:val="32"/>
        </w:rPr>
        <w:t>5.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thiết kế kiến trúc tổng thể với mô hình C4 (sơ đồ ngữ cảnh và sơ đồ container), kiến trúc đa tenant single-bucket kết hợp Row-Level Security và phòng thủ chiều sâu năm lớp; thiết kế chi tiết gồm sơ đồ lớp, sơ đồ quan hệ thực thể (ERD), sơ đồ tuần tự, máy trạng thái vòng đời tenant, thiết kế cơ sở dữ liệu và mô hình gói dịch vụ.</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khảo sát các hệ thống tham khảo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quy trình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đơn tenant (single-tenant) — mỗi khách hàng có một instance cơ sở dữ liệu riêng, khó mở rộng khi trung tâm mở chi nhánh thứ năm trở lên; chưa có tính năng tự sinh tài nguyên thương hiệu bằng AI; quy trình khởi tạo yêu cầu liên hệ bộ phận kinh doanh chứ chưa hoàn toàn tự phục vụ; mức giá tuy phải chăng hơn các sản phẩm hướng doanh nghiệp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1.1 đối chiếu trực tiếp bốn hệ thống tham khảo với hệ thống đề xuất trên các tiêu chí cạnh tranh cốt lõi: phân khúc mục tiêu, khoảng giá, kiến trúc đa tenant, mức độ tự động hóa và khả năng tuân thủ pháp luật Việt Nam.</w:t>
      </w:r>
    </w:p>
    <w:p>
      <w:pPr>
        <w:pStyle w:val="BảngCaption"/>
        <w:spacing w:before="120" w:after="240"/>
        <w:jc w:val="center"/>
      </w:pPr>
      <w:r>
        <w:rPr>
          <w:rFonts w:ascii="Times New Roman" w:hAnsi="Times New Roman" w:eastAsia="Times New Roman"/>
          <w:b/>
          <w:sz w:val="26"/>
        </w:rPr>
        <w:t>Bảng 1.1</w:t>
      </w:r>
      <w:r>
        <w:rPr>
          <w:rFonts w:ascii="Times New Roman" w:hAnsi="Times New Roman" w:eastAsia="Times New Roman"/>
          <w:sz w:val="26"/>
        </w:rPr>
        <w:t>. So sánh bốn hệ thống tham khảo với hệ thống đề xuất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Phát triển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Phát triển sau</w:t>
            </w:r>
          </w:p>
        </w:tc>
      </w:tr>
      <w:tr>
        <w:tc>
          <w:tcPr>
            <w:tcW w:type="dxa" w:w="1440"/>
          </w:tcPr>
          <w:p>
            <w:r>
              <w:rPr>
                <w:sz w:val="24"/>
              </w:rPr>
            </w:r>
            <w:r>
              <w:rPr>
                <w:rFonts w:ascii="Times New Roman" w:hAnsi="Times New Roman" w:eastAsia="Times New Roman"/>
                <w:b w:val="0"/>
                <w:i w:val="0"/>
                <w:sz w:val="24"/>
              </w:rPr>
              <w:t>Tích hợp Zalo (OA + nhóm)</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Thanh toán tích hợp</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Có (VietQR + chuyển khoản)</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với cô lập ở mức cơ sở dữ liệu (mỗi tenant một schema riêng),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sang lộ trình phát triển sau có rủi ro mất khách so với Mona eLMS và Easy Edu vốn đã có ứng dụng gốc — giải pháp giảm thiểu là giao diện web đáp ứng kết hợp kênh Zalo (OA và nhóm) đã được triển khai, ưu tiên ứng dụng di động gốc cho lộ trình phát triển sau. Cổng thanh toán cũng là điểm yếu khi DotB có sẵn ba cổng tích hợp — hệ thống đề xuất hiện tại sử dụng chuyển khoản ngân hàng kết hợp VietQR (không cần cổng), lộ trình phát triển sau bao gồm tích hợp cổng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spacing w:line="288" w:lineRule="auto"/>
        <w:ind w:firstLine="567"/>
        <w:jc w:val="both"/>
      </w:pPr>
      <w:r>
        <w:rPr>
          <w:rFonts w:ascii="Times New Roman" w:hAnsi="Times New Roman" w:eastAsia="Times New Roman"/>
          <w:b w:val="0"/>
          <w:i w:val="0"/>
          <w:sz w:val="26"/>
        </w:rPr>
        <w:t>Lộ trình phát triển sau bao gồm các định hướng mở rộng cụ thể. Trước tiên, mở rộng nhóm tenant tham gia lên 30-50 trung tâm với chính sách thu phí giới thiệu thấp hơn giá niêm yết, mục đích chính là kiểm chứng mô hình giá ở quy mô lớn hơn. Tiếp theo, mở cho mọi trung tâm tự đăng ký không qua quy trình mời, đi kèm thỏa thuận mức dịch vụ (SLA — Service Level Agreement) cam kết thời gian hoạt động ≥99,5% và bổ sung kênh trò chuyện trực tuyến, ứng dụng di động gốc cho học viên và phụ huynh, đa cổng thanh toán tích hợp (VNPay, MoMo). Định hướng xa hơn là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Việc tách phạm vi triển khai hiện tại khỏi lộ trình phát triển sau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§2.3.5)</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phạm vi hiện tại thủ công; tích hợp MoMo/VNPay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Email giao dịch (KiteHub `kitehub-email`)</w:t>
      </w:r>
    </w:p>
    <w:p>
      <w:pPr>
        <w:pStyle w:val="ListBullet"/>
        <w:spacing w:line="288" w:lineRule="auto"/>
        <w:ind w:left="850" w:hanging="283"/>
      </w:pPr>
      <w:r>
        <w:rPr>
          <w:rFonts w:ascii="Times New Roman" w:hAnsi="Times New Roman" w:eastAsia="Times New Roman"/>
          <w:b w:val="0"/>
          <w:i w:val="0"/>
          <w:sz w:val="26"/>
        </w:rPr>
        <w:t xml:space="preserve">Kênh thông báo trừu tượng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với hai nhà cung cấp: AWS SES (mặc định môi trường vận hành) và Resend (dự phòng), tự động chuyển đổi khi nhà cung cấp chính lỗi</w:t>
      </w:r>
    </w:p>
    <w:p>
      <w:pPr>
        <w:pStyle w:val="ListBullet"/>
        <w:spacing w:line="288" w:lineRule="auto"/>
        <w:ind w:left="850" w:hanging="283"/>
      </w:pPr>
      <w:r>
        <w:rPr>
          <w:rFonts w:ascii="Times New Roman" w:hAnsi="Times New Roman" w:eastAsia="Times New Roman"/>
          <w:b w:val="0"/>
          <w:i w:val="0"/>
          <w:sz w:val="26"/>
        </w:rPr>
        <w:t>Mẫu email theo tông giọng phù hợp vai trò người nhận (Owner trang trọng, phụ huynh kính ngữ): chào mừng, magic-link kích hoạt, hóa đơn, nhắc thanh toán, thông báo điểm/sự cố</w:t>
      </w:r>
    </w:p>
    <w:p>
      <w:pPr>
        <w:pStyle w:val="ListBullet"/>
        <w:spacing w:line="288" w:lineRule="auto"/>
        <w:ind w:left="850" w:hanging="283"/>
      </w:pPr>
      <w:r>
        <w:rPr>
          <w:rFonts w:ascii="Times New Roman" w:hAnsi="Times New Roman" w:eastAsia="Times New Roman"/>
          <w:b w:val="0"/>
          <w:i w:val="0"/>
          <w:sz w:val="26"/>
        </w:rPr>
        <w:t xml:space="preserve">Gửi bất đồng bộ qua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 tách rời khỏi luồng nghiệp vụ chính để không chặn request người dùng</w:t>
      </w:r>
    </w:p>
    <w:p>
      <w:pPr>
        <w:pStyle w:val="ListBullet"/>
        <w:spacing w:line="288" w:lineRule="auto"/>
        <w:ind w:left="850" w:hanging="283"/>
      </w:pPr>
      <w:r>
        <w:rPr>
          <w:rFonts w:ascii="Times New Roman" w:hAnsi="Times New Roman" w:eastAsia="Times New Roman"/>
          <w:b w:val="0"/>
          <w:i w:val="0"/>
          <w:sz w:val="26"/>
        </w:rPr>
        <w:t xml:space="preserve">Nhật ký gửi lưu bảng </w:t>
      </w:r>
      <w:r>
        <w:rPr>
          <w:rFonts w:ascii="Times New Roman" w:hAnsi="Times New Roman" w:eastAsia="Times New Roman"/>
          <w:b w:val="0"/>
          <w:i/>
          <w:sz w:val="26"/>
        </w:rPr>
        <w:t>email_logs</w:t>
      </w:r>
      <w:r>
        <w:rPr>
          <w:rFonts w:ascii="Times New Roman" w:hAnsi="Times New Roman" w:eastAsia="Times New Roman"/>
          <w:b w:val="0"/>
          <w:i w:val="0"/>
          <w:sz w:val="26"/>
        </w:rPr>
        <w:t xml:space="preserve"> phục vụ tra cứu và đối soát tỷ lệ gửi thành công</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xml:space="preserve">), ghi nhận thanh toán thủ công qua chuyển khoản / tiền mặt / VietQR (bảng </w:t>
      </w:r>
      <w:r>
        <w:rPr>
          <w:rFonts w:ascii="Times New Roman" w:hAnsi="Times New Roman" w:eastAsia="Times New Roman"/>
          <w:b w:val="0"/>
          <w:i/>
          <w:sz w:val="26"/>
        </w:rPr>
        <w:t>payment_records</w:t>
      </w:r>
      <w:r>
        <w:rPr>
          <w:rFonts w:ascii="Times New Roman" w:hAnsi="Times New Roman" w:eastAsia="Times New Roman"/>
          <w:b w:val="0"/>
          <w:i w:val="0"/>
          <w:sz w:val="26"/>
        </w:rPr>
        <w:t>). Xuất hóa đơn điện tử VAT theo Thông tư 78/2021/TT-BTC (qua đối tác MISA MeInvoice) thuộc lộ trình phát triển sau</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523745"/>
            <wp:docPr id="6" name="Picture 6"/>
            <wp:cNvGraphicFramePr>
              <a:graphicFrameLocks noChangeAspect="1"/>
            </wp:cNvGraphicFramePr>
            <a:graphic>
              <a:graphicData uri="http://schemas.openxmlformats.org/drawingml/2006/picture">
                <pic:pic>
                  <pic:nvPicPr>
                    <pic:cNvPr id="0" name="mermaid-12c182812741e49f.png"/>
                    <pic:cNvPicPr/>
                  </pic:nvPicPr>
                  <pic:blipFill>
                    <a:blip r:embed="rId14"/>
                    <a:stretch>
                      <a:fillRect/>
                    </a:stretch>
                  </pic:blipFill>
                  <pic:spPr>
                    <a:xfrm>
                      <a:off x="0" y="0"/>
                      <a:ext cx="5760000" cy="452374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chấm thang 1-5 trên 6 trục — độ mạnh cô lập, chi phí vận hành theo số tenant, khả năng truy vấn xuyên tenant, độ phù hợp phạm vi SMB hiện tại, vị thế tuân thủ (PDPL + ISO27001) và chi phí chuyển đổi từ hiện trạng — tổng tối đa 30. Rubric xây dựng riêng cho ngữ cảnh trung tâm dạy thêm SMB, tham khảo phương pháp luận Pool/Bridge/Silo của AWS Well-Architected SaaS Lens [26, tr.21] và pattern comparison của Pothon [27], với trọng số ưu tiên chi phí (ràng buộc Free Tier) và độ đơn giản vận hành (mô hình solo-dev).</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phạm vi hiện tại)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hiện tại</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Pattern 4 (chọn — tổng 26/30):</w:t>
      </w:r>
      <w:r>
        <w:rPr>
          <w:rFonts w:ascii="Times New Roman" w:hAnsi="Times New Roman" w:eastAsia="Times New Roman"/>
          <w:b w:val="0"/>
          <w:i w:val="0"/>
          <w:sz w:val="26"/>
        </w:rPr>
        <w:t xml:space="preserve"> P4 đạt điểm tối đa ở ba trục quyết định với phạm vi hiện tại — chi phí vận hành O(1) (5đ: 1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+ 1 chuỗi Flyway migration cho mọi tenant), độ phù hợp phạm vi SMB (5đ: ≤$15/tháng cho ≤10 tenant đầu) và chi phí chuyển đổi thấp (5đ: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chỉ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Độ mạnh cô lập chỉ đạt 3đ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 NULL force-fail, chi tiết §2.2.4) chứ không phải vật lý như Per-DB — vai trò siêu người dùng vẫn BYPASS được, nên cần thêm 4 lớp phòng thủ chiều sâu (§2.2.4). Hai trục còn lại đạt 4đ: khả năng truy vấn xuyên tenant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BYPASSRLS phục vụ report toàn nền tảng) và vị thế tuân thủ (cô lập logic mạnh + audit trail PDPL Art 11) — chưa đạt 5đ do là cô lập logic, không vật lý.</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3695186"/>
            <wp:docPr id="9" name="Picture 9"/>
            <wp:cNvGraphicFramePr>
              <a:graphicFrameLocks noChangeAspect="1"/>
            </wp:cNvGraphicFramePr>
            <a:graphic>
              <a:graphicData uri="http://schemas.openxmlformats.org/drawingml/2006/picture">
                <pic:pic>
                  <pic:nvPicPr>
                    <pic:cNvPr id="0" name="mermaid-736115bd58496c03.png"/>
                    <pic:cNvPicPr/>
                  </pic:nvPicPr>
                  <pic:blipFill>
                    <a:blip r:embed="rId17"/>
                    <a:stretch>
                      <a:fillRect/>
                    </a:stretch>
                  </pic:blipFill>
                  <pic:spPr>
                    <a:xfrm>
                      <a:off x="0" y="0"/>
                      <a:ext cx="5760000" cy="369518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4178539"/>
            <wp:docPr id="10" name="Picture 10"/>
            <wp:cNvGraphicFramePr>
              <a:graphicFrameLocks noChangeAspect="1"/>
            </wp:cNvGraphicFramePr>
            <a:graphic>
              <a:graphicData uri="http://schemas.openxmlformats.org/drawingml/2006/picture">
                <pic:pic>
                  <pic:nvPicPr>
                    <pic:cNvPr id="0" name="mermaid-992b3a27321a67c1.png"/>
                    <pic:cNvPicPr/>
                  </pic:nvPicPr>
                  <pic:blipFill>
                    <a:blip r:embed="rId18"/>
                    <a:stretch>
                      <a:fillRect/>
                    </a:stretch>
                  </pic:blipFill>
                  <pic:spPr>
                    <a:xfrm>
                      <a:off x="0" y="0"/>
                      <a:ext cx="5760000" cy="417853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3944873"/>
            <wp:docPr id="12" name="Picture 12"/>
            <wp:cNvGraphicFramePr>
              <a:graphicFrameLocks noChangeAspect="1"/>
            </wp:cNvGraphicFramePr>
            <a:graphic>
              <a:graphicData uri="http://schemas.openxmlformats.org/drawingml/2006/picture">
                <pic:pic>
                  <pic:nvPicPr>
                    <pic:cNvPr id="0" name="mermaid-6d2e4b98901515e6.png"/>
                    <pic:cNvPicPr/>
                  </pic:nvPicPr>
                  <pic:blipFill>
                    <a:blip r:embed="rId20"/>
                    <a:stretch>
                      <a:fillRect/>
                    </a:stretch>
                  </pic:blipFill>
                  <pic:spPr>
                    <a:xfrm>
                      <a:off x="0" y="0"/>
                      <a:ext cx="5760000" cy="394487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Ba mục đầu tạo thành cụm thiết kế dữ liệu liền mạch: §2.3.1 class diagram (hành vi runtime), §2.3.2 ERD (quan hệ lưu trữ), §2.3.3 thiết kế cơ sở dữ liệu chi tiết (schema từng cột). Hai mục tiếp theo trình bày thiết kế hành vi: §2.3.4 sequence diagram luồng cấp phát tenant, §2.3.5 máy trạng thái vòng đời tenant. Hai mục cuối: §2.3.6 phân rã service, §2.3.7 mô hình SaaS (gói dịch vụ, thanh toán).</w:t>
      </w:r>
    </w:p>
    <w:p>
      <w:pPr>
        <w:pStyle w:val="Heading3"/>
      </w:pPr>
      <w:r>
        <w:rPr>
          <w:rFonts w:ascii="Times New Roman" w:hAnsi="Times New Roman" w:eastAsia="Times New Roman"/>
          <w:b/>
          <w:color w:val="000000"/>
          <w:sz w:val="28"/>
        </w:rPr>
        <w:t>2.3.1 Class Diagram</w:t>
      </w:r>
    </w:p>
    <w:p>
      <w:pPr>
        <w:spacing w:line="288" w:lineRule="auto"/>
        <w:ind w:firstLine="567"/>
        <w:jc w:val="both"/>
      </w:pPr>
      <w:r>
        <w:rPr>
          <w:rFonts w:ascii="Times New Roman" w:hAnsi="Times New Roman" w:eastAsia="Times New Roman"/>
          <w:b w:val="0"/>
          <w:i w:val="0"/>
          <w:sz w:val="26"/>
        </w:rPr>
        <w:t>Sơ đồ lớp UML mô tả các entity nghiệp vụ cùng phương thức hành vi runtime, tách theo hai mặt phẳng kiến trúc đa tenant: mặt phẳng điều khiển (control-plane) thuộc cụm KiteHub quản lý vòng đời tenant, và mặt phẳng nghiệp vụ (domain-plane) thuộc cụm KiteClass phục vụ giáo dục. Hình 2.5a trình bày các lớp trọng tâm của KiteHub — nơi tập trung đóng góp đặc thù của đồ án (cấp phát tenant, đăng ký dịch vụ, AI Branding, tuân thủ PDPL); Hình 2.5b trình bày các lớp nghiệp vụ giáo dục đại diện của KiteClass.</w:t>
      </w:r>
    </w:p>
    <w:p>
      <w:pPr>
        <w:spacing w:before="120" w:after="120"/>
        <w:jc w:val="center"/>
      </w:pPr>
      <w:r>
        <w:drawing>
          <wp:inline xmlns:a="http://schemas.openxmlformats.org/drawingml/2006/main" xmlns:pic="http://schemas.openxmlformats.org/drawingml/2006/picture">
            <wp:extent cx="5760000" cy="5347782"/>
            <wp:docPr id="13" name="Picture 13"/>
            <wp:cNvGraphicFramePr>
              <a:graphicFrameLocks noChangeAspect="1"/>
            </wp:cNvGraphicFramePr>
            <a:graphic>
              <a:graphicData uri="http://schemas.openxmlformats.org/drawingml/2006/picture">
                <pic:pic>
                  <pic:nvPicPr>
                    <pic:cNvPr id="0" name="mermaid-c448a433fad819b6.png"/>
                    <pic:cNvPicPr/>
                  </pic:nvPicPr>
                  <pic:blipFill>
                    <a:blip r:embed="rId21"/>
                    <a:stretch>
                      <a:fillRect/>
                    </a:stretch>
                  </pic:blipFill>
                  <pic:spPr>
                    <a:xfrm>
                      <a:off x="0" y="0"/>
                      <a:ext cx="5760000" cy="534778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2.5a.</w:t>
      </w:r>
      <w:r>
        <w:rPr>
          <w:rFonts w:ascii="Times New Roman" w:hAnsi="Times New Roman" w:eastAsia="Times New Roman"/>
          <w:b w:val="0"/>
          <w:i w:val="0"/>
          <w:sz w:val="26"/>
        </w:rPr>
        <w:t xml:space="preserve"> Class diagram cụm KiteHub control-plane — vòng đời tenant, đăng ký dịch vụ, AI Branding, tuân thủ PDPL.</w:t>
      </w:r>
    </w:p>
    <w:p>
      <w:pPr>
        <w:spacing w:before="120" w:after="120"/>
        <w:jc w:val="center"/>
      </w:pPr>
      <w:r>
        <w:drawing>
          <wp:inline xmlns:a="http://schemas.openxmlformats.org/drawingml/2006/main" xmlns:pic="http://schemas.openxmlformats.org/drawingml/2006/picture">
            <wp:extent cx="5730367" cy="6480000"/>
            <wp:docPr id="14" name="Picture 14"/>
            <wp:cNvGraphicFramePr>
              <a:graphicFrameLocks noChangeAspect="1"/>
            </wp:cNvGraphicFramePr>
            <a:graphic>
              <a:graphicData uri="http://schemas.openxmlformats.org/drawingml/2006/picture">
                <pic:pic>
                  <pic:nvPicPr>
                    <pic:cNvPr id="0" name="mermaid-52bd3b0ca51195aa.png"/>
                    <pic:cNvPicPr/>
                  </pic:nvPicPr>
                  <pic:blipFill>
                    <a:blip r:embed="rId22"/>
                    <a:stretch>
                      <a:fillRect/>
                    </a:stretch>
                  </pic:blipFill>
                  <pic:spPr>
                    <a:xfrm>
                      <a:off x="0" y="0"/>
                      <a:ext cx="5730367"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2.5b.</w:t>
      </w:r>
      <w:r>
        <w:rPr>
          <w:rFonts w:ascii="Times New Roman" w:hAnsi="Times New Roman" w:eastAsia="Times New Roman"/>
          <w:b w:val="0"/>
          <w:i w:val="0"/>
          <w:sz w:val="26"/>
        </w:rPr>
        <w:t xml:space="preserve"> Class diagram cụm KiteClass domain — entity giáo dục đại diện (học sinh, khoá học, lớp, đăng ký, điểm, điểm danh).</w:t>
      </w:r>
    </w:p>
    <w:p>
      <w:pPr>
        <w:spacing w:line="288" w:lineRule="auto"/>
        <w:ind w:firstLine="567"/>
        <w:jc w:val="both"/>
      </w:pPr>
      <w:r>
        <w:rPr>
          <w:rFonts w:ascii="Times New Roman" w:hAnsi="Times New Roman" w:eastAsia="Times New Roman"/>
          <w:b w:val="0"/>
          <w:i w:val="0"/>
          <w:sz w:val="26"/>
        </w:rPr>
        <w:t xml:space="preserve">Sơ đồ lớp nhấn vào hành vi runtime: </w:t>
      </w:r>
      <w:r>
        <w:rPr>
          <w:rFonts w:ascii="Times New Roman" w:hAnsi="Times New Roman" w:eastAsia="Times New Roman"/>
          <w:b w:val="0"/>
          <w:i/>
          <w:sz w:val="26"/>
        </w:rPr>
        <w:t>Instance.provision()</w:t>
      </w:r>
      <w:r>
        <w:rPr>
          <w:rFonts w:ascii="Times New Roman" w:hAnsi="Times New Roman" w:eastAsia="Times New Roman"/>
          <w:b w:val="0"/>
          <w:i w:val="0"/>
          <w:sz w:val="26"/>
        </w:rPr>
        <w:t xml:space="preserve"> khởi tạo tenant khi quản trị duyệt yêu cầu beta; </w:t>
      </w:r>
      <w:r>
        <w:rPr>
          <w:rFonts w:ascii="Times New Roman" w:hAnsi="Times New Roman" w:eastAsia="Times New Roman"/>
          <w:b w:val="0"/>
          <w:i/>
          <w:sz w:val="26"/>
        </w:rPr>
        <w:t>Instance.suspend()</w:t>
      </w:r>
      <w:r>
        <w:rPr>
          <w:rFonts w:ascii="Times New Roman" w:hAnsi="Times New Roman" w:eastAsia="Times New Roman"/>
          <w:b w:val="0"/>
          <w:i w:val="0"/>
          <w:sz w:val="26"/>
        </w:rPr>
        <w:t xml:space="preserve"> gọi khi thanh toán thất bại quá hạn ân hạn; </w:t>
      </w:r>
      <w:r>
        <w:rPr>
          <w:rFonts w:ascii="Times New Roman" w:hAnsi="Times New Roman" w:eastAsia="Times New Roman"/>
          <w:b w:val="0"/>
          <w:i/>
          <w:sz w:val="26"/>
        </w:rPr>
        <w:t>Instance.cancel()</w:t>
      </w:r>
      <w:r>
        <w:rPr>
          <w:rFonts w:ascii="Times New Roman" w:hAnsi="Times New Roman" w:eastAsia="Times New Roman"/>
          <w:b w:val="0"/>
          <w:i w:val="0"/>
          <w:sz w:val="26"/>
        </w:rPr>
        <w:t xml:space="preserve"> đánh dấu off-boarding sau cửa sổ lưu giữ 7 ngày; </w:t>
      </w:r>
      <w:r>
        <w:rPr>
          <w:rFonts w:ascii="Times New Roman" w:hAnsi="Times New Roman" w:eastAsia="Times New Roman"/>
          <w:b w:val="0"/>
          <w:i/>
          <w:sz w:val="26"/>
        </w:rPr>
        <w:t>Subscription.renew()</w:t>
      </w:r>
      <w:r>
        <w:rPr>
          <w:rFonts w:ascii="Times New Roman" w:hAnsi="Times New Roman" w:eastAsia="Times New Roman"/>
          <w:b w:val="0"/>
          <w:i w:val="0"/>
          <w:sz w:val="26"/>
        </w:rPr>
        <w:t xml:space="preserve"> tự gia hạn hằng tháng; </w:t>
      </w:r>
      <w:r>
        <w:rPr>
          <w:rFonts w:ascii="Times New Roman" w:hAnsi="Times New Roman" w:eastAsia="Times New Roman"/>
          <w:b w:val="0"/>
          <w:i/>
          <w:sz w:val="26"/>
        </w:rPr>
        <w:t>BetaAccessRequest.approve()</w:t>
      </w:r>
      <w:r>
        <w:rPr>
          <w:rFonts w:ascii="Times New Roman" w:hAnsi="Times New Roman" w:eastAsia="Times New Roman"/>
          <w:b w:val="0"/>
          <w:i w:val="0"/>
          <w:sz w:val="26"/>
        </w:rPr>
        <w:t xml:space="preserve"> chuyển yêu cầu beta thành tenant. Ba entity vòng đời (</w:t>
      </w:r>
      <w:r>
        <w:rPr>
          <w:rFonts w:ascii="Times New Roman" w:hAnsi="Times New Roman" w:eastAsia="Times New Roman"/>
          <w:b w:val="0"/>
          <w:i/>
          <w:sz w:val="26"/>
        </w:rPr>
        <w:t>Instance</w:t>
      </w:r>
      <w:r>
        <w:rPr>
          <w:rFonts w:ascii="Times New Roman" w:hAnsi="Times New Roman" w:eastAsia="Times New Roman"/>
          <w:b w:val="0"/>
          <w:i w:val="0"/>
          <w:sz w:val="26"/>
        </w:rPr>
        <w:t xml:space="preserve">, </w:t>
      </w:r>
      <w:r>
        <w:rPr>
          <w:rFonts w:ascii="Times New Roman" w:hAnsi="Times New Roman" w:eastAsia="Times New Roman"/>
          <w:b w:val="0"/>
          <w:i/>
          <w:sz w:val="26"/>
        </w:rPr>
        <w:t>User</w:t>
      </w:r>
      <w:r>
        <w:rPr>
          <w:rFonts w:ascii="Times New Roman" w:hAnsi="Times New Roman" w:eastAsia="Times New Roman"/>
          <w:b w:val="0"/>
          <w:i w:val="0"/>
          <w:sz w:val="26"/>
        </w:rPr>
        <w:t xml:space="preserve">, </w:t>
      </w:r>
      <w:r>
        <w:rPr>
          <w:rFonts w:ascii="Times New Roman" w:hAnsi="Times New Roman" w:eastAsia="Times New Roman"/>
          <w:b w:val="0"/>
          <w:i/>
          <w:sz w:val="26"/>
        </w:rPr>
        <w:t>Subscription</w:t>
      </w:r>
      <w:r>
        <w:rPr>
          <w:rFonts w:ascii="Times New Roman" w:hAnsi="Times New Roman" w:eastAsia="Times New Roman"/>
          <w:b w:val="0"/>
          <w:i w:val="0"/>
          <w:sz w:val="26"/>
        </w:rPr>
        <w:t xml:space="preserve">) kế thừa </w:t>
      </w:r>
      <w:r>
        <w:rPr>
          <w:rFonts w:ascii="Times New Roman" w:hAnsi="Times New Roman" w:eastAsia="Times New Roman"/>
          <w:b w:val="0"/>
          <w:i/>
          <w:sz w:val="26"/>
        </w:rPr>
        <w:t>BaseEntity</w:t>
      </w:r>
      <w:r>
        <w:rPr>
          <w:rFonts w:ascii="Times New Roman" w:hAnsi="Times New Roman" w:eastAsia="Times New Roman"/>
          <w:b w:val="0"/>
          <w:i w:val="0"/>
          <w:sz w:val="26"/>
        </w:rPr>
        <w:t xml:space="preserve"> cung cấp các cột audit chung (</w:t>
      </w:r>
      <w:r>
        <w:rPr>
          <w:rFonts w:ascii="Times New Roman" w:hAnsi="Times New Roman" w:eastAsia="Times New Roman"/>
          <w:b w:val="0"/>
          <w:i/>
          <w:sz w:val="26"/>
        </w:rPr>
        <w:t>createdAt</w:t>
      </w:r>
      <w:r>
        <w:rPr>
          <w:rFonts w:ascii="Times New Roman" w:hAnsi="Times New Roman" w:eastAsia="Times New Roman"/>
          <w:b w:val="0"/>
          <w:i w:val="0"/>
          <w:sz w:val="26"/>
        </w:rPr>
        <w:t xml:space="preserve">, </w:t>
      </w:r>
      <w:r>
        <w:rPr>
          <w:rFonts w:ascii="Times New Roman" w:hAnsi="Times New Roman" w:eastAsia="Times New Roman"/>
          <w:b w:val="0"/>
          <w:i/>
          <w:sz w:val="26"/>
        </w:rPr>
        <w:t>updatedAt</w:t>
      </w:r>
      <w:r>
        <w:rPr>
          <w:rFonts w:ascii="Times New Roman" w:hAnsi="Times New Roman" w:eastAsia="Times New Roman"/>
          <w:b w:val="0"/>
          <w:i w:val="0"/>
          <w:sz w:val="26"/>
        </w:rPr>
        <w:t xml:space="preserve">, </w:t>
      </w:r>
      <w:r>
        <w:rPr>
          <w:rFonts w:ascii="Times New Roman" w:hAnsi="Times New Roman" w:eastAsia="Times New Roman"/>
          <w:b w:val="0"/>
          <w:i/>
          <w:sz w:val="26"/>
        </w:rPr>
        <w:t>deleted</w:t>
      </w:r>
      <w:r>
        <w:rPr>
          <w:rFonts w:ascii="Times New Roman" w:hAnsi="Times New Roman" w:eastAsia="Times New Roman"/>
          <w:b w:val="0"/>
          <w:i w:val="0"/>
          <w:sz w:val="26"/>
        </w:rPr>
        <w:t xml:space="preserve"> cho xoá mềm). Mọi entity đều mang cột định danh tenant (</w:t>
      </w:r>
      <w:r>
        <w:rPr>
          <w:rFonts w:ascii="Times New Roman" w:hAnsi="Times New Roman" w:eastAsia="Times New Roman"/>
          <w:b w:val="0"/>
          <w:i/>
          <w:sz w:val="26"/>
        </w:rPr>
        <w:t>instanceId</w:t>
      </w:r>
      <w:r>
        <w:rPr>
          <w:rFonts w:ascii="Times New Roman" w:hAnsi="Times New Roman" w:eastAsia="Times New Roman"/>
          <w:b w:val="0"/>
          <w:i w:val="0"/>
          <w:sz w:val="26"/>
        </w:rPr>
        <w:t>/</w:t>
      </w:r>
      <w:r>
        <w:rPr>
          <w:rFonts w:ascii="Times New Roman" w:hAnsi="Times New Roman" w:eastAsia="Times New Roman"/>
          <w:b w:val="0"/>
          <w:i/>
          <w:sz w:val="26"/>
        </w:rPr>
        <w:t>tenantId</w:t>
      </w:r>
      <w:r>
        <w:rPr>
          <w:rFonts w:ascii="Times New Roman" w:hAnsi="Times New Roman" w:eastAsia="Times New Roman"/>
          <w:b w:val="0"/>
          <w:i w:val="0"/>
          <w:sz w:val="26"/>
        </w:rPr>
        <w:t xml:space="preserve"> UUID) — khoá ngoại bắt buộc cho chính sách RLS PostgreSQL mô tả ở §2.2.4. Hai cụm chia sẻ chung khoá tenant nhưng thuộc hai schema tách biệt (</w:t>
      </w:r>
      <w:r>
        <w:rPr>
          <w:rFonts w:ascii="Times New Roman" w:hAnsi="Times New Roman" w:eastAsia="Times New Roman"/>
          <w:b w:val="0"/>
          <w:i/>
          <w:sz w:val="26"/>
        </w:rPr>
        <w:t>kitehub</w:t>
      </w:r>
      <w:r>
        <w:rPr>
          <w:rFonts w:ascii="Times New Roman" w:hAnsi="Times New Roman" w:eastAsia="Times New Roman"/>
          <w:b w:val="0"/>
          <w:i w:val="0"/>
          <w:sz w:val="26"/>
        </w:rPr>
        <w:t xml:space="preserve"> và </w:t>
      </w:r>
      <w:r>
        <w:rPr>
          <w:rFonts w:ascii="Times New Roman" w:hAnsi="Times New Roman" w:eastAsia="Times New Roman"/>
          <w:b w:val="0"/>
          <w:i/>
          <w:sz w:val="26"/>
        </w:rPr>
        <w:t>kiteclass_shared</w:t>
      </w:r>
      <w:r>
        <w:rPr>
          <w:rFonts w:ascii="Times New Roman" w:hAnsi="Times New Roman" w:eastAsia="Times New Roman"/>
          <w:b w:val="0"/>
          <w:i w:val="0"/>
          <w:sz w:val="26"/>
        </w:rPr>
        <w:t>) như trình bày ở §2.3.3.</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vật lý — tập trung vào khoá chính (PK), khoá ngoại (FK), cardinality giữa các bảng và bảng nối (junction) — khác với class diagram §2.3.1 vốn tập trung vào hành vi runtime và phương thức. ERD cũng được tách theo hai cụm tương ứng hai schema: Hình 2.6a cho cụm KiteHub control-plane, Hình 2.6b cho cụm KiteClass domain.</w:t>
      </w:r>
    </w:p>
    <w:p>
      <w:pPr>
        <w:spacing w:before="120" w:after="120"/>
        <w:jc w:val="center"/>
      </w:pPr>
      <w:r>
        <w:drawing>
          <wp:inline xmlns:a="http://schemas.openxmlformats.org/drawingml/2006/main" xmlns:pic="http://schemas.openxmlformats.org/drawingml/2006/picture">
            <wp:extent cx="5760000" cy="2700644"/>
            <wp:docPr id="15" name="Picture 15"/>
            <wp:cNvGraphicFramePr>
              <a:graphicFrameLocks noChangeAspect="1"/>
            </wp:cNvGraphicFramePr>
            <a:graphic>
              <a:graphicData uri="http://schemas.openxmlformats.org/drawingml/2006/picture">
                <pic:pic>
                  <pic:nvPicPr>
                    <pic:cNvPr id="0" name="mermaid-3bbb19c305e34691.png"/>
                    <pic:cNvPicPr/>
                  </pic:nvPicPr>
                  <pic:blipFill>
                    <a:blip r:embed="rId23"/>
                    <a:stretch>
                      <a:fillRect/>
                    </a:stretch>
                  </pic:blipFill>
                  <pic:spPr>
                    <a:xfrm>
                      <a:off x="0" y="0"/>
                      <a:ext cx="5760000" cy="27006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2.6a.</w:t>
      </w:r>
      <w:r>
        <w:rPr>
          <w:rFonts w:ascii="Times New Roman" w:hAnsi="Times New Roman" w:eastAsia="Times New Roman"/>
          <w:b w:val="0"/>
          <w:i w:val="0"/>
          <w:sz w:val="26"/>
        </w:rPr>
        <w:t xml:space="preserve"> ERD cụm KiteHub control-plane — </w:t>
      </w:r>
      <w:r>
        <w:rPr>
          <w:rFonts w:ascii="Times New Roman" w:hAnsi="Times New Roman" w:eastAsia="Times New Roman"/>
          <w:b w:val="0"/>
          <w:i/>
          <w:sz w:val="26"/>
        </w:rPr>
        <w:t>INSTANCES</w:t>
      </w:r>
      <w:r>
        <w:rPr>
          <w:rFonts w:ascii="Times New Roman" w:hAnsi="Times New Roman" w:eastAsia="Times New Roman"/>
          <w:b w:val="0"/>
          <w:i w:val="0"/>
          <w:sz w:val="26"/>
        </w:rPr>
        <w:t xml:space="preserve"> là bảng gốc (PK </w:t>
      </w:r>
      <w:r>
        <w:rPr>
          <w:rFonts w:ascii="Times New Roman" w:hAnsi="Times New Roman" w:eastAsia="Times New Roman"/>
          <w:b w:val="0"/>
          <w:i/>
          <w:sz w:val="26"/>
        </w:rPr>
        <w:t>id</w:t>
      </w:r>
      <w:r>
        <w:rPr>
          <w:rFonts w:ascii="Times New Roman" w:hAnsi="Times New Roman" w:eastAsia="Times New Roman"/>
          <w:b w:val="0"/>
          <w:i w:val="0"/>
          <w:sz w:val="26"/>
        </w:rPr>
        <w:t xml:space="preserve"> UUID), quan hệ 1-1 với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và 1-N tới các bảng còn lại.</w:t>
      </w:r>
    </w:p>
    <w:p>
      <w:pPr>
        <w:spacing w:before="120" w:after="120"/>
        <w:jc w:val="center"/>
      </w:pPr>
      <w:r>
        <w:drawing>
          <wp:inline xmlns:a="http://schemas.openxmlformats.org/drawingml/2006/main" xmlns:pic="http://schemas.openxmlformats.org/drawingml/2006/picture">
            <wp:extent cx="5760000" cy="4836923"/>
            <wp:docPr id="16" name="Picture 16"/>
            <wp:cNvGraphicFramePr>
              <a:graphicFrameLocks noChangeAspect="1"/>
            </wp:cNvGraphicFramePr>
            <a:graphic>
              <a:graphicData uri="http://schemas.openxmlformats.org/drawingml/2006/picture">
                <pic:pic>
                  <pic:nvPicPr>
                    <pic:cNvPr id="0" name="mermaid-c5cd04442860d5a1.png"/>
                    <pic:cNvPicPr/>
                  </pic:nvPicPr>
                  <pic:blipFill>
                    <a:blip r:embed="rId24"/>
                    <a:stretch>
                      <a:fillRect/>
                    </a:stretch>
                  </pic:blipFill>
                  <pic:spPr>
                    <a:xfrm>
                      <a:off x="0" y="0"/>
                      <a:ext cx="5760000" cy="483692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2.6b.</w:t>
      </w:r>
      <w:r>
        <w:rPr>
          <w:rFonts w:ascii="Times New Roman" w:hAnsi="Times New Roman" w:eastAsia="Times New Roman"/>
          <w:b w:val="0"/>
          <w:i w:val="0"/>
          <w:sz w:val="26"/>
        </w:rPr>
        <w:t xml:space="preserve"> ERD cụm KiteClass domain —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phân giải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val="0"/>
          <w:i w:val="0"/>
          <w:sz w:val="26"/>
        </w:rPr>
        <w:t xml:space="preserve">ERD bộc lộ các chi tiết tầng lưu trữ bị che ở class diagram: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phân giải qua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(một học sinh đăng ký nhiều lớp, một lớp có nhiều học sinh); quan hệ 1-1 giữa </w:t>
      </w:r>
      <w:r>
        <w:rPr>
          <w:rFonts w:ascii="Times New Roman" w:hAnsi="Times New Roman" w:eastAsia="Times New Roman"/>
          <w:b w:val="0"/>
          <w:i/>
          <w:sz w:val="26"/>
        </w:rPr>
        <w:t>INSTANCES</w:t>
      </w:r>
      <w:r>
        <w:rPr>
          <w:rFonts w:ascii="Times New Roman" w:hAnsi="Times New Roman" w:eastAsia="Times New Roman"/>
          <w:b w:val="0"/>
          <w:i w:val="0"/>
          <w:sz w:val="26"/>
        </w:rPr>
        <w:t xml:space="preserve"> và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(mỗi tenant một gói đang hoạt động). Mọi bảng nghiệp vụ đều mang khoá ngoại định danh tenant (</w:t>
      </w:r>
      <w:r>
        <w:rPr>
          <w:rFonts w:ascii="Times New Roman" w:hAnsi="Times New Roman" w:eastAsia="Times New Roman"/>
          <w:b w:val="0"/>
          <w:i/>
          <w:sz w:val="26"/>
        </w:rPr>
        <w:t>instance_id</w:t>
      </w:r>
      <w:r>
        <w:rPr>
          <w:rFonts w:ascii="Times New Roman" w:hAnsi="Times New Roman" w:eastAsia="Times New Roman"/>
          <w:b w:val="0"/>
          <w:i w:val="0"/>
          <w:sz w:val="26"/>
        </w:rPr>
        <w:t>/</w:t>
      </w:r>
      <w:r>
        <w:rPr>
          <w:rFonts w:ascii="Times New Roman" w:hAnsi="Times New Roman" w:eastAsia="Times New Roman"/>
          <w:b w:val="0"/>
          <w:i/>
          <w:sz w:val="26"/>
        </w:rPr>
        <w:t>tenant_id</w:t>
      </w:r>
      <w:r>
        <w:rPr>
          <w:rFonts w:ascii="Times New Roman" w:hAnsi="Times New Roman" w:eastAsia="Times New Roman"/>
          <w:b w:val="0"/>
          <w:i w:val="0"/>
          <w:sz w:val="26"/>
        </w:rPr>
        <w:t xml:space="preserve">) với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từ </w:t>
      </w:r>
      <w:r>
        <w:rPr>
          <w:rFonts w:ascii="Times New Roman" w:hAnsi="Times New Roman" w:eastAsia="Times New Roman"/>
          <w:b w:val="0"/>
          <w:i/>
          <w:sz w:val="26"/>
        </w:rPr>
        <w:t>INSTANCES</w:t>
      </w:r>
      <w:r>
        <w:rPr>
          <w:rFonts w:ascii="Times New Roman" w:hAnsi="Times New Roman" w:eastAsia="Times New Roman"/>
          <w:b w:val="0"/>
          <w:i w:val="0"/>
          <w:sz w:val="26"/>
        </w:rPr>
        <w:t xml:space="preserve"> — thể hiện ranh giới đa tenant: không bản ghi nghiệp vụ nào tồn tại ngoài ngữ cảnh tenant. Schema chi tiết từng cột của các bảng đại diện được trình bày liền sau tại §2.3.3.</w:t>
      </w:r>
    </w:p>
    <w:p>
      <w:pPr>
        <w:pStyle w:val="Heading3"/>
      </w:pPr>
      <w:r>
        <w:rPr>
          <w:rFonts w:ascii="Times New Roman" w:hAnsi="Times New Roman" w:eastAsia="Times New Roman"/>
          <w:b/>
          <w:color w:val="000000"/>
          <w:sz w:val="28"/>
        </w:rPr>
        <w:t>2.3.3 Thiết kế cơ sở dữ liệu</w:t>
      </w:r>
    </w:p>
    <w:p>
      <w:pPr>
        <w:spacing w:line="288" w:lineRule="auto"/>
        <w:ind w:firstLine="567"/>
        <w:jc w:val="both"/>
      </w:pPr>
      <w:r>
        <w:rPr>
          <w:rFonts w:ascii="Times New Roman" w:hAnsi="Times New Roman" w:eastAsia="Times New Roman"/>
          <w:b w:val="0"/>
          <w:i w:val="0"/>
          <w:sz w:val="26"/>
        </w:rPr>
        <w:t xml:space="preserve">Tiếp nối ERD §2.3.2, phần này trình bày schema chi tiết từng cột của ba bảng đại diện cho các trục thiết kế của Kite Platform: </w:t>
      </w:r>
      <w:r>
        <w:rPr>
          <w:rFonts w:ascii="Times New Roman" w:hAnsi="Times New Roman" w:eastAsia="Times New Roman"/>
          <w:b w:val="0"/>
          <w:i/>
          <w:sz w:val="26"/>
        </w:rPr>
        <w:t>instances</w:t>
      </w:r>
      <w:r>
        <w:rPr>
          <w:rFonts w:ascii="Times New Roman" w:hAnsi="Times New Roman" w:eastAsia="Times New Roman"/>
          <w:b w:val="0"/>
          <w:i w:val="0"/>
          <w:sz w:val="26"/>
        </w:rPr>
        <w:t xml:space="preserve"> (control-plane, vòng đời tenant),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(control-plane, nguồn sự thật billing) và </w:t>
      </w:r>
      <w:r>
        <w:rPr>
          <w:rFonts w:ascii="Times New Roman" w:hAnsi="Times New Roman" w:eastAsia="Times New Roman"/>
          <w:b w:val="0"/>
          <w:i/>
          <w:sz w:val="26"/>
        </w:rPr>
        <w:t>students</w:t>
      </w:r>
      <w:r>
        <w:rPr>
          <w:rFonts w:ascii="Times New Roman" w:hAnsi="Times New Roman" w:eastAsia="Times New Roman"/>
          <w:b w:val="0"/>
          <w:i w:val="0"/>
          <w:sz w:val="26"/>
        </w:rPr>
        <w:t xml:space="preserve"> (domain-plane, hồ sơ học sinh — bảng chịu yêu cầu PDPL chặt chẽ nhất). Schema được pull canonical từ chuỗi migration Flyway của hai cụm dịch vụ (</w:t>
      </w:r>
      <w:r>
        <w:rPr>
          <w:rFonts w:ascii="Times New Roman" w:hAnsi="Times New Roman" w:eastAsia="Times New Roman"/>
          <w:b w:val="0"/>
          <w:i/>
          <w:sz w:val="26"/>
        </w:rPr>
        <w:t>kitehub</w:t>
      </w:r>
      <w:r>
        <w:rPr>
          <w:rFonts w:ascii="Times New Roman" w:hAnsi="Times New Roman" w:eastAsia="Times New Roman"/>
          <w:b w:val="0"/>
          <w:i w:val="0"/>
          <w:sz w:val="26"/>
        </w:rPr>
        <w:t xml:space="preserve"> 57 migration, </w:t>
      </w:r>
      <w:r>
        <w:rPr>
          <w:rFonts w:ascii="Times New Roman" w:hAnsi="Times New Roman" w:eastAsia="Times New Roman"/>
          <w:b w:val="0"/>
          <w:i/>
          <w:sz w:val="26"/>
        </w:rPr>
        <w:t>kiteclass_shared</w:t>
      </w:r>
      <w:r>
        <w:rPr>
          <w:rFonts w:ascii="Times New Roman" w:hAnsi="Times New Roman" w:eastAsia="Times New Roman"/>
          <w:b w:val="0"/>
          <w:i w:val="0"/>
          <w:sz w:val="26"/>
        </w:rPr>
        <w:t xml:space="preserve"> 76 migration). Các bảng nghiệp vụ khác (</w:t>
      </w:r>
      <w:r>
        <w:rPr>
          <w:rFonts w:ascii="Times New Roman" w:hAnsi="Times New Roman" w:eastAsia="Times New Roman"/>
          <w:b w:val="0"/>
          <w:i/>
          <w:sz w:val="26"/>
        </w:rPr>
        <w:t>courses</w:t>
      </w:r>
      <w:r>
        <w:rPr>
          <w:rFonts w:ascii="Times New Roman" w:hAnsi="Times New Roman" w:eastAsia="Times New Roman"/>
          <w:b w:val="0"/>
          <w:i w:val="0"/>
          <w:sz w:val="26"/>
        </w:rPr>
        <w:t xml:space="preserve">, </w:t>
      </w:r>
      <w:r>
        <w:rPr>
          <w:rFonts w:ascii="Times New Roman" w:hAnsi="Times New Roman" w:eastAsia="Times New Roman"/>
          <w:b w:val="0"/>
          <w:i/>
          <w:sz w:val="26"/>
        </w:rPr>
        <w:t>classes</w:t>
      </w:r>
      <w:r>
        <w:rPr>
          <w:rFonts w:ascii="Times New Roman" w:hAnsi="Times New Roman" w:eastAsia="Times New Roman"/>
          <w:b w:val="0"/>
          <w:i w:val="0"/>
          <w:sz w:val="26"/>
        </w:rPr>
        <w:t xml:space="preserve">, </w:t>
      </w:r>
      <w:r>
        <w:rPr>
          <w:rFonts w:ascii="Times New Roman" w:hAnsi="Times New Roman" w:eastAsia="Times New Roman"/>
          <w:b w:val="0"/>
          <w:i/>
          <w:sz w:val="26"/>
        </w:rPr>
        <w:t>enrollments</w:t>
      </w:r>
      <w:r>
        <w:rPr>
          <w:rFonts w:ascii="Times New Roman" w:hAnsi="Times New Roman" w:eastAsia="Times New Roman"/>
          <w:b w:val="0"/>
          <w:i w:val="0"/>
          <w:sz w:val="26"/>
        </w:rPr>
        <w:t xml:space="preserve">, </w:t>
      </w:r>
      <w:r>
        <w:rPr>
          <w:rFonts w:ascii="Times New Roman" w:hAnsi="Times New Roman" w:eastAsia="Times New Roman"/>
          <w:b w:val="0"/>
          <w:i/>
          <w:sz w:val="26"/>
        </w:rPr>
        <w:t>attendance</w:t>
      </w:r>
      <w:r>
        <w:rPr>
          <w:rFonts w:ascii="Times New Roman" w:hAnsi="Times New Roman" w:eastAsia="Times New Roman"/>
          <w:b w:val="0"/>
          <w:i w:val="0"/>
          <w:sz w:val="26"/>
        </w:rPr>
        <w:t xml:space="preserve">, </w:t>
      </w:r>
      <w:r>
        <w:rPr>
          <w:rFonts w:ascii="Times New Roman" w:hAnsi="Times New Roman" w:eastAsia="Times New Roman"/>
          <w:b w:val="0"/>
          <w:i/>
          <w:sz w:val="26"/>
        </w:rPr>
        <w:t>grades</w:t>
      </w:r>
      <w:r>
        <w:rPr>
          <w:rFonts w:ascii="Times New Roman" w:hAnsi="Times New Roman" w:eastAsia="Times New Roman"/>
          <w:b w:val="0"/>
          <w:i w:val="0"/>
          <w:sz w:val="26"/>
        </w:rPr>
        <w:t xml:space="preserve">, </w:t>
      </w:r>
      <w:r>
        <w:rPr>
          <w:rFonts w:ascii="Times New Roman" w:hAnsi="Times New Roman" w:eastAsia="Times New Roman"/>
          <w:b w:val="0"/>
          <w:i/>
          <w:sz w:val="26"/>
        </w:rPr>
        <w:t>branding_templates</w:t>
      </w:r>
      <w:r>
        <w:rPr>
          <w:rFonts w:ascii="Times New Roman" w:hAnsi="Times New Roman" w:eastAsia="Times New Roman"/>
          <w:b w:val="0"/>
          <w:i w:val="0"/>
          <w:sz w:val="26"/>
        </w:rPr>
        <w:t xml:space="preserve">) tuân theo cùng quy ước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 RLS theo tenant (§2.2.4) và quan hệ thực thể tại §2.3.2.</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domain_verify_token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Token DCV (Domain Control Validation) sinh khi tenant đăng ký tên miền riêng</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domain_verified_at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xác minh tên miền thành công qua bản ghi CNAME/TXT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domain_status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Trạng thái xác minh tên miền: </w:t>
            </w:r>
            <w:r>
              <w:rPr>
                <w:rFonts w:ascii="Times New Roman" w:hAnsi="Times New Roman" w:eastAsia="Times New Roman"/>
                <w:b w:val="0"/>
                <w:i/>
                <w:sz w:val="24"/>
              </w:rPr>
              <w:t>PENDING</w:t>
            </w:r>
            <w:r>
              <w:rPr>
                <w:rFonts w:ascii="Times New Roman" w:hAnsi="Times New Roman" w:eastAsia="Times New Roman"/>
                <w:b w:val="0"/>
                <w:i w:val="0"/>
                <w:sz w:val="24"/>
              </w:rPr>
              <w:t xml:space="preserve"> / </w:t>
            </w:r>
            <w:r>
              <w:rPr>
                <w:rFonts w:ascii="Times New Roman" w:hAnsi="Times New Roman" w:eastAsia="Times New Roman"/>
                <w:b w:val="0"/>
                <w:i/>
                <w:sz w:val="24"/>
              </w:rPr>
              <w:t>VERIFIED</w:t>
            </w:r>
            <w:r>
              <w:rPr>
                <w:rFonts w:ascii="Times New Roman" w:hAnsi="Times New Roman" w:eastAsia="Times New Roman"/>
                <w:b w:val="0"/>
                <w:i w:val="0"/>
                <w:sz w:val="24"/>
              </w:rPr>
              <w:t xml:space="preserve"> / </w:t>
            </w:r>
            <w:r>
              <w:rPr>
                <w:rFonts w:ascii="Times New Roman" w:hAnsi="Times New Roman" w:eastAsia="Times New Roman"/>
                <w:b w:val="0"/>
                <w:i/>
                <w:sz w:val="24"/>
              </w:rPr>
              <w:t>FAILED</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16</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17</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18</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là nguồn sự thật cho trạng thái đăng ký dịch vụ của mỗi tenant: mỗi tenant có một bản ghi gói đang hoạt động (quan hệ 1-1 với </w:t>
      </w:r>
      <w:r>
        <w:rPr>
          <w:rFonts w:ascii="Times New Roman" w:hAnsi="Times New Roman" w:eastAsia="Times New Roman"/>
          <w:b w:val="0"/>
          <w:i/>
          <w:sz w:val="26"/>
        </w:rPr>
        <w:t>instances</w:t>
      </w:r>
      <w:r>
        <w:rPr>
          <w:rFonts w:ascii="Times New Roman" w:hAnsi="Times New Roman" w:eastAsia="Times New Roman"/>
          <w:b w:val="0"/>
          <w:i w:val="0"/>
          <w:sz w:val="26"/>
        </w:rPr>
        <w:t xml:space="preserve">), liên kết tới chuỗi </w:t>
      </w:r>
      <w:r>
        <w:rPr>
          <w:rFonts w:ascii="Times New Roman" w:hAnsi="Times New Roman" w:eastAsia="Times New Roman"/>
          <w:b w:val="0"/>
          <w:i/>
          <w:sz w:val="26"/>
        </w:rPr>
        <w:t>payments</w:t>
      </w:r>
      <w:r>
        <w:rPr>
          <w:rFonts w:ascii="Times New Roman" w:hAnsi="Times New Roman" w:eastAsia="Times New Roman"/>
          <w:b w:val="0"/>
          <w:i w:val="0"/>
          <w:sz w:val="26"/>
        </w:rPr>
        <w:t xml:space="preserve"> qua khoá ngoại.</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`subscriptions`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FREE / STARTER / PRO / PRO_PLUS</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price_vnd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Giá gói theo VND (lưu số nguyên đồng, không thập phân)</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TRIAL / ACTIVE / PAST_DUE / CANCELLED</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kích hoạt gói</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chu kỳ hiện tại</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auto_renew</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tự gia hạn hằng tháng (mặc định true)</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pending_payment_id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Tham chiếu payment đang chờ thanh toán (nullable)</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 và là bảng chịu yêu cầu tuân thủ PDPL chặt chẽ nhất do chứa thông tin cá nhân nhạy cảm.</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2.3.4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2345316"/>
            <wp:docPr id="17" name="Picture 17"/>
            <wp:cNvGraphicFramePr>
              <a:graphicFrameLocks noChangeAspect="1"/>
            </wp:cNvGraphicFramePr>
            <a:graphic>
              <a:graphicData uri="http://schemas.openxmlformats.org/drawingml/2006/picture">
                <pic:pic>
                  <pic:nvPicPr>
                    <pic:cNvPr id="0" name="mermaid-b6a7959c7494b945.png"/>
                    <pic:cNvPicPr/>
                  </pic:nvPicPr>
                  <pic:blipFill>
                    <a:blip r:embed="rId25"/>
                    <a:stretch>
                      <a:fillRect/>
                    </a:stretch>
                  </pic:blipFill>
                  <pic:spPr>
                    <a:xfrm>
                      <a:off x="0" y="0"/>
                      <a:ext cx="5760000" cy="234531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3196244"/>
            <wp:docPr id="18" name="Picture 18"/>
            <wp:cNvGraphicFramePr>
              <a:graphicFrameLocks noChangeAspect="1"/>
            </wp:cNvGraphicFramePr>
            <a:graphic>
              <a:graphicData uri="http://schemas.openxmlformats.org/drawingml/2006/picture">
                <pic:pic>
                  <pic:nvPicPr>
                    <pic:cNvPr id="0" name="mermaid-78fd152d1fb8fcae.png"/>
                    <pic:cNvPicPr/>
                  </pic:nvPicPr>
                  <pic:blipFill>
                    <a:blip r:embed="rId26"/>
                    <a:stretch>
                      <a:fillRect/>
                    </a:stretch>
                  </pic:blipFill>
                  <pic:spPr>
                    <a:xfrm>
                      <a:off x="0" y="0"/>
                      <a:ext cx="5760000" cy="31962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§2.3.5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2.3.5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431339" cy="6480000"/>
            <wp:docPr id="19" name="Picture 19"/>
            <wp:cNvGraphicFramePr>
              <a:graphicFrameLocks noChangeAspect="1"/>
            </wp:cNvGraphicFramePr>
            <a:graphic>
              <a:graphicData uri="http://schemas.openxmlformats.org/drawingml/2006/picture">
                <pic:pic>
                  <pic:nvPicPr>
                    <pic:cNvPr id="0" name="mermaid-a6f4b739c25e129b.png"/>
                    <pic:cNvPicPr/>
                  </pic:nvPicPr>
                  <pic:blipFill>
                    <a:blip r:embed="rId27"/>
                    <a:stretch>
                      <a:fillRect/>
                    </a:stretch>
                  </pic:blipFill>
                  <pic:spPr>
                    <a:xfrm>
                      <a:off x="0" y="0"/>
                      <a:ext cx="5431339"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2.3.6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bốn gói dịch vụ phân tầng theo persona mục tiêu (Bảng 2.11). Hai gói FREE và STARTER đã kiểm chứng hiện tại với hai giáo viên độc lập; hai gói PRO và PRO_PLUS thuộc lộ trình phát triển sau khi mở rộng cohort tenant.</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24"/>
              </w:rPr>
            </w:r>
            <w:r>
              <w:rPr>
                <w:rFonts w:ascii="Times New Roman" w:hAnsi="Times New Roman" w:eastAsia="Times New Roman"/>
                <w:b/>
                <w:i w:val="0"/>
                <w:sz w:val="24"/>
              </w:rPr>
              <w:t>Gói</w:t>
            </w:r>
          </w:p>
        </w:tc>
        <w:tc>
          <w:tcPr>
            <w:tcW w:type="dxa" w:w="960"/>
          </w:tcPr>
          <w:p>
            <w:pPr>
              <w:jc w:val="center"/>
            </w:pPr>
            <w:r>
              <w:rPr>
                <w:b/>
                <w:sz w:val="24"/>
              </w:rPr>
            </w:r>
            <w:r>
              <w:rPr>
                <w:rFonts w:ascii="Times New Roman" w:hAnsi="Times New Roman" w:eastAsia="Times New Roman"/>
                <w:b/>
                <w:i w:val="0"/>
                <w:sz w:val="24"/>
              </w:rPr>
              <w:t>Trạng thái</w:t>
            </w:r>
          </w:p>
        </w:tc>
        <w:tc>
          <w:tcPr>
            <w:tcW w:type="dxa" w:w="960"/>
          </w:tcPr>
          <w:p>
            <w:pPr>
              <w:jc w:val="center"/>
            </w:pPr>
            <w:r>
              <w:rPr>
                <w:b/>
                <w:sz w:val="24"/>
              </w:rPr>
            </w:r>
            <w:r>
              <w:rPr>
                <w:rFonts w:ascii="Times New Roman" w:hAnsi="Times New Roman" w:eastAsia="Times New Roman"/>
                <w:b/>
                <w:i w:val="0"/>
                <w:sz w:val="24"/>
              </w:rPr>
              <w:t>Persona mục tiêu</w:t>
            </w:r>
          </w:p>
        </w:tc>
        <w:tc>
          <w:tcPr>
            <w:tcW w:type="dxa" w:w="960"/>
          </w:tcPr>
          <w:p>
            <w:pPr>
              <w:jc w:val="center"/>
            </w:pPr>
            <w:r>
              <w:rPr>
                <w:b/>
                <w:sz w:val="24"/>
              </w:rPr>
            </w:r>
            <w:r>
              <w:rPr>
                <w:rFonts w:ascii="Times New Roman" w:hAnsi="Times New Roman" w:eastAsia="Times New Roman"/>
                <w:b/>
                <w:i w:val="0"/>
                <w:sz w:val="24"/>
              </w:rPr>
              <w:t>Giá tháng</w:t>
            </w:r>
          </w:p>
        </w:tc>
        <w:tc>
          <w:tcPr>
            <w:tcW w:type="dxa" w:w="960"/>
          </w:tcPr>
          <w:p>
            <w:pPr>
              <w:jc w:val="center"/>
            </w:pPr>
            <w:r>
              <w:rPr>
                <w:b/>
                <w:sz w:val="24"/>
              </w:rPr>
            </w:r>
            <w:r>
              <w:rPr>
                <w:rFonts w:ascii="Times New Roman" w:hAnsi="Times New Roman" w:eastAsia="Times New Roman"/>
                <w:b/>
                <w:i w:val="0"/>
                <w:sz w:val="24"/>
              </w:rPr>
              <w:t>Số học sinh</w:t>
            </w:r>
          </w:p>
        </w:tc>
        <w:tc>
          <w:tcPr>
            <w:tcW w:type="dxa" w:w="960"/>
          </w:tcPr>
          <w:p>
            <w:pPr>
              <w:jc w:val="center"/>
            </w:pPr>
            <w:r>
              <w:rPr>
                <w:b/>
                <w:sz w:val="24"/>
              </w:rPr>
            </w:r>
            <w:r>
              <w:rPr>
                <w:rFonts w:ascii="Times New Roman" w:hAnsi="Times New Roman" w:eastAsia="Times New Roman"/>
                <w:b/>
                <w:i w:val="0"/>
                <w:sz w:val="24"/>
              </w:rPr>
              <w:t>Số lớp</w:t>
            </w:r>
          </w:p>
        </w:tc>
        <w:tc>
          <w:tcPr>
            <w:tcW w:type="dxa" w:w="960"/>
          </w:tcPr>
          <w:p>
            <w:pPr>
              <w:jc w:val="center"/>
            </w:pPr>
            <w:r>
              <w:rPr>
                <w:b/>
                <w:sz w:val="24"/>
              </w:rPr>
            </w:r>
            <w:r>
              <w:rPr>
                <w:rFonts w:ascii="Times New Roman" w:hAnsi="Times New Roman" w:eastAsia="Times New Roman"/>
                <w:b/>
                <w:i w:val="0"/>
                <w:sz w:val="24"/>
              </w:rPr>
              <w:t>Lượt sinh ảnh AI/ngày</w:t>
            </w:r>
          </w:p>
        </w:tc>
        <w:tc>
          <w:tcPr>
            <w:tcW w:type="dxa" w:w="960"/>
          </w:tcPr>
          <w:p>
            <w:pPr>
              <w:jc w:val="center"/>
            </w:pPr>
            <w:r>
              <w:rPr>
                <w:b/>
                <w:sz w:val="24"/>
              </w:rPr>
            </w:r>
            <w:r>
              <w:rPr>
                <w:rFonts w:ascii="Times New Roman" w:hAnsi="Times New Roman" w:eastAsia="Times New Roman"/>
                <w:b/>
                <w:i w:val="0"/>
                <w:sz w:val="24"/>
              </w:rPr>
              <w:t>Tên miền riêng (custom domain)</w:t>
            </w:r>
          </w:p>
        </w:tc>
        <w:tc>
          <w:tcPr>
            <w:tcW w:type="dxa" w:w="960"/>
          </w:tcPr>
          <w:p>
            <w:pPr>
              <w:jc w:val="center"/>
            </w:pPr>
            <w:r>
              <w:rPr>
                <w:b/>
                <w:sz w:val="24"/>
              </w:rPr>
            </w:r>
            <w:r>
              <w:rPr>
                <w:rFonts w:ascii="Times New Roman" w:hAnsi="Times New Roman" w:eastAsia="Times New Roman"/>
                <w:b/>
                <w:i w:val="0"/>
                <w:sz w:val="24"/>
              </w:rPr>
              <w:t>Email DKIM-verified</w:t>
            </w:r>
          </w:p>
        </w:tc>
      </w:tr>
      <w:tr>
        <w:tc>
          <w:tcPr>
            <w:tcW w:type="dxa" w:w="960"/>
          </w:tcPr>
          <w:p>
            <w:r>
              <w:rPr>
                <w:sz w:val="24"/>
              </w:rPr>
            </w:r>
            <w:r>
              <w:rPr>
                <w:rFonts w:ascii="Times New Roman" w:hAnsi="Times New Roman" w:eastAsia="Times New Roman"/>
                <w:b w:val="0"/>
                <w:i w:val="0"/>
                <w:sz w:val="24"/>
              </w:rPr>
              <w:t>FREE</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P1 Giáo viên độc lập</w:t>
            </w:r>
          </w:p>
        </w:tc>
        <w:tc>
          <w:tcPr>
            <w:tcW w:type="dxa" w:w="960"/>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w:t>
            </w:r>
          </w:p>
        </w:tc>
        <w:tc>
          <w:tcPr>
            <w:tcW w:type="dxa" w:w="960"/>
          </w:tcPr>
          <w:p>
            <w:r>
              <w:rPr>
                <w:sz w:val="24"/>
              </w:rPr>
            </w:r>
            <w:r>
              <w:rPr>
                <w:rFonts w:ascii="Times New Roman" w:hAnsi="Times New Roman" w:eastAsia="Times New Roman"/>
                <w:b w:val="0"/>
                <w:i w:val="0"/>
                <w:sz w:val="24"/>
              </w:rPr>
              <w:t>3</w:t>
            </w:r>
          </w:p>
        </w:tc>
        <w:tc>
          <w:tcPr>
            <w:tcW w:type="dxa" w:w="960"/>
          </w:tcPr>
          <w:p>
            <w:r>
              <w:rPr>
                <w:sz w:val="24"/>
              </w:rPr>
            </w:r>
            <w:r>
              <w:rPr>
                <w:rFonts w:ascii="Times New Roman" w:hAnsi="Times New Roman" w:eastAsia="Times New Roman"/>
                <w:b w:val="0"/>
                <w:i w:val="0"/>
                <w:sz w:val="24"/>
              </w:rPr>
              <w:t xml:space="preserve">Không (chỉ subdomain </w:t>
            </w:r>
            <w:r>
              <w:rPr>
                <w:rFonts w:ascii="Times New Roman" w:hAnsi="Times New Roman" w:eastAsia="Times New Roman"/>
                <w:b w:val="0"/>
                <w:i/>
                <w:sz w:val="24"/>
              </w:rPr>
              <w:t>*.kitehub.me</w:t>
            </w:r>
            <w:r>
              <w:rPr>
                <w:rFonts w:ascii="Times New Roman" w:hAnsi="Times New Roman" w:eastAsia="Times New Roman"/>
                <w:b w:val="0"/>
                <w:i w:val="0"/>
                <w:sz w:val="24"/>
              </w:rPr>
              <w:t>)</w:t>
            </w:r>
          </w:p>
        </w:tc>
        <w:tc>
          <w:tcPr>
            <w:tcW w:type="dxa" w:w="960"/>
          </w:tcPr>
          <w:p>
            <w:r>
              <w:rPr>
                <w:sz w:val="24"/>
              </w:rPr>
            </w:r>
            <w:r>
              <w:rPr>
                <w:rFonts w:ascii="Times New Roman" w:hAnsi="Times New Roman" w:eastAsia="Times New Roman"/>
                <w:b w:val="0"/>
                <w:i w:val="0"/>
                <w:sz w:val="24"/>
              </w:rPr>
              <w:t>Mặc định (shared DKIM)</w:t>
            </w:r>
          </w:p>
        </w:tc>
      </w:tr>
      <w:tr>
        <w:tc>
          <w:tcPr>
            <w:tcW w:type="dxa" w:w="960"/>
          </w:tcPr>
          <w:p>
            <w:r>
              <w:rPr>
                <w:sz w:val="24"/>
              </w:rPr>
            </w:r>
            <w:r>
              <w:rPr>
                <w:rFonts w:ascii="Times New Roman" w:hAnsi="Times New Roman" w:eastAsia="Times New Roman"/>
                <w:b w:val="0"/>
                <w:i w:val="0"/>
                <w:sz w:val="24"/>
              </w:rPr>
              <w:t>STARTER</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P2 Chủ sở hữu trung tâm SMB</w:t>
            </w:r>
          </w:p>
        </w:tc>
        <w:tc>
          <w:tcPr>
            <w:tcW w:type="dxa" w:w="960"/>
          </w:tcPr>
          <w:p>
            <w:r>
              <w:rPr>
                <w:sz w:val="24"/>
              </w:rPr>
            </w:r>
            <w:r>
              <w:rPr>
                <w:rFonts w:ascii="Times New Roman" w:hAnsi="Times New Roman" w:eastAsia="Times New Roman"/>
                <w:b w:val="0"/>
                <w:i/>
                <w:sz w:val="24"/>
              </w:rPr>
              <w:t>500.000đ/tháng</w:t>
            </w:r>
          </w:p>
        </w:tc>
        <w:tc>
          <w:tcPr>
            <w:tcW w:type="dxa" w:w="960"/>
          </w:tcPr>
          <w:p>
            <w:r>
              <w:rPr>
                <w:sz w:val="24"/>
              </w:rPr>
            </w:r>
            <w:r>
              <w:rPr>
                <w:rFonts w:ascii="Times New Roman" w:hAnsi="Times New Roman" w:eastAsia="Times New Roman"/>
                <w:b w:val="0"/>
                <w:i w:val="0"/>
                <w:sz w:val="24"/>
              </w:rPr>
              <w:t>100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Không</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P3 Quản lý trung tâm</w:t>
            </w:r>
          </w:p>
        </w:tc>
        <w:tc>
          <w:tcPr>
            <w:tcW w:type="dxa" w:w="960"/>
          </w:tcPr>
          <w:p>
            <w:r>
              <w:rPr>
                <w:sz w:val="24"/>
              </w:rPr>
            </w:r>
            <w:r>
              <w:rPr>
                <w:rFonts w:ascii="Times New Roman" w:hAnsi="Times New Roman" w:eastAsia="Times New Roman"/>
                <w:b w:val="0"/>
                <w:i/>
                <w:sz w:val="24"/>
              </w:rPr>
              <w:t>1.500.000đ/tháng</w:t>
            </w:r>
          </w:p>
        </w:tc>
        <w:tc>
          <w:tcPr>
            <w:tcW w:type="dxa" w:w="960"/>
          </w:tcPr>
          <w:p>
            <w:r>
              <w:rPr>
                <w:sz w:val="24"/>
              </w:rPr>
            </w:r>
            <w:r>
              <w:rPr>
                <w:rFonts w:ascii="Times New Roman" w:hAnsi="Times New Roman" w:eastAsia="Times New Roman"/>
                <w:b w:val="0"/>
                <w:i w:val="0"/>
                <w:sz w:val="24"/>
              </w:rPr>
              <w:t>500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Có (custom CNAME)</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PRO_PLUS</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Chuỗi nhượng quyền multi-branch</w:t>
            </w:r>
          </w:p>
        </w:tc>
        <w:tc>
          <w:tcPr>
            <w:tcW w:type="dxa" w:w="960"/>
          </w:tcPr>
          <w:p>
            <w:r>
              <w:rPr>
                <w:sz w:val="24"/>
              </w:rPr>
            </w:r>
            <w:r>
              <w:rPr>
                <w:rFonts w:ascii="Times New Roman" w:hAnsi="Times New Roman" w:eastAsia="Times New Roman"/>
                <w:b w:val="0"/>
                <w:i/>
                <w:sz w:val="24"/>
              </w:rPr>
              <w:t>5.000.000đ/tháng</w:t>
            </w:r>
          </w:p>
        </w:tc>
        <w:tc>
          <w:tcPr>
            <w:tcW w:type="dxa" w:w="960"/>
          </w:tcPr>
          <w:p>
            <w:r>
              <w:rPr>
                <w:sz w:val="24"/>
              </w:rPr>
            </w:r>
            <w:r>
              <w:rPr>
                <w:rFonts w:ascii="Times New Roman" w:hAnsi="Times New Roman" w:eastAsia="Times New Roman"/>
                <w:b w:val="0"/>
                <w:i w:val="0"/>
                <w:sz w:val="24"/>
              </w:rPr>
              <w:t>2000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Có (custom CNAME + IP riêng)</w:t>
            </w:r>
          </w:p>
        </w:tc>
        <w:tc>
          <w:tcPr>
            <w:tcW w:type="dxa" w:w="960"/>
          </w:tcPr>
          <w:p>
            <w:r>
              <w:rPr>
                <w:sz w:val="24"/>
              </w:rPr>
            </w:r>
            <w:r>
              <w:rPr>
                <w:rFonts w:ascii="Times New Roman" w:hAnsi="Times New Roman" w:eastAsia="Times New Roman"/>
                <w:b w:val="0"/>
                <w:i w:val="0"/>
                <w:sz w:val="24"/>
              </w:rPr>
              <w:t>DKIM-verified riêng</w:t>
            </w:r>
          </w:p>
        </w:tc>
      </w:tr>
    </w:tbl>
    <w:p/>
    <w:p>
      <w:pPr>
        <w:spacing w:line="288" w:lineRule="auto"/>
        <w:ind w:firstLine="567"/>
        <w:jc w:val="both"/>
      </w:pPr>
      <w:r>
        <w:rPr>
          <w:rFonts w:ascii="Times New Roman" w:hAnsi="Times New Roman" w:eastAsia="Times New Roman"/>
          <w:b/>
          <w:i w:val="0"/>
          <w:sz w:val="26"/>
        </w:rPr>
        <w:t>Trạng thái hiện thực hoá.</w:t>
      </w:r>
      <w:r>
        <w:rPr>
          <w:rFonts w:ascii="Times New Roman" w:hAnsi="Times New Roman" w:eastAsia="Times New Roman"/>
          <w:b w:val="0"/>
          <w:i w:val="0"/>
          <w:sz w:val="26"/>
        </w:rPr>
        <w:t xml:space="preserve"> Mã nguồn hiện tại trên kho lưu trữ KiteHub đã định nghĩa enum </w:t>
      </w:r>
      <w:r>
        <w:rPr>
          <w:rFonts w:ascii="Times New Roman" w:hAnsi="Times New Roman" w:eastAsia="Times New Roman"/>
          <w:b w:val="0"/>
          <w:i/>
          <w:sz w:val="26"/>
        </w:rPr>
        <w:t>PricingTier</w:t>
      </w:r>
      <w:r>
        <w:rPr>
          <w:rFonts w:ascii="Times New Roman" w:hAnsi="Times New Roman" w:eastAsia="Times New Roman"/>
          <w:b w:val="0"/>
          <w:i w:val="0"/>
          <w:sz w:val="26"/>
        </w:rPr>
        <w:t xml:space="preserve"> với bốn cấp giá </w:t>
      </w:r>
      <w:r>
        <w:rPr>
          <w:rFonts w:ascii="Times New Roman" w:hAnsi="Times New Roman" w:eastAsia="Times New Roman"/>
          <w:b w:val="0"/>
          <w:i/>
          <w:sz w:val="26"/>
        </w:rPr>
        <w:t>FREE / BASIC / PREMIUM / ENTERPRISE</w:t>
      </w:r>
      <w:r>
        <w:rPr>
          <w:rFonts w:ascii="Times New Roman" w:hAnsi="Times New Roman" w:eastAsia="Times New Roman"/>
          <w:b w:val="0"/>
          <w:i w:val="0"/>
          <w:sz w:val="26"/>
        </w:rPr>
        <w:t xml:space="preserve"> cùng mức giá </w:t>
      </w:r>
      <w:r>
        <w:rPr>
          <w:rFonts w:ascii="Times New Roman" w:hAnsi="Times New Roman" w:eastAsia="Times New Roman"/>
          <w:b w:val="0"/>
          <w:i/>
          <w:sz w:val="26"/>
        </w:rPr>
        <w:t>0đ / 500.000đ / 1.500.000đ / báo giá riêng</w:t>
      </w:r>
      <w:r>
        <w:rPr>
          <w:rFonts w:ascii="Times New Roman" w:hAnsi="Times New Roman" w:eastAsia="Times New Roman"/>
          <w:b w:val="0"/>
          <w:i w:val="0"/>
          <w:sz w:val="26"/>
        </w:rPr>
        <w:t xml:space="preserve">, khớp ba tầng giá đầu của Bảng 2.11 dưới tên gọi cũ. Việc đổi tên gói sang </w:t>
      </w:r>
      <w:r>
        <w:rPr>
          <w:rFonts w:ascii="Times New Roman" w:hAnsi="Times New Roman" w:eastAsia="Times New Roman"/>
          <w:b w:val="0"/>
          <w:i/>
          <w:sz w:val="26"/>
        </w:rPr>
        <w:t>FREE / STARTER / PRO / PRO_PLUS</w:t>
      </w:r>
      <w:r>
        <w:rPr>
          <w:rFonts w:ascii="Times New Roman" w:hAnsi="Times New Roman" w:eastAsia="Times New Roman"/>
          <w:b w:val="0"/>
          <w:i w:val="0"/>
          <w:sz w:val="26"/>
        </w:rPr>
        <w:t xml:space="preserve"> để thân thiện với người dùng và đồng nhất với phân tích nhóm người dùng đại diện tại §1.1.2, bổ sung trường giới hạn </w:t>
      </w:r>
      <w:r>
        <w:rPr>
          <w:rFonts w:ascii="Times New Roman" w:hAnsi="Times New Roman" w:eastAsia="Times New Roman"/>
          <w:b w:val="0"/>
          <w:i/>
          <w:sz w:val="26"/>
        </w:rPr>
        <w:t>maxClasses</w:t>
      </w:r>
      <w:r>
        <w:rPr>
          <w:rFonts w:ascii="Times New Roman" w:hAnsi="Times New Roman" w:eastAsia="Times New Roman"/>
          <w:b w:val="0"/>
          <w:i w:val="0"/>
          <w:sz w:val="26"/>
        </w:rPr>
        <w:t xml:space="preserve">, và xây dựng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cho cơ chế enforcement HTTP 429 ở tầng tenant thuộc lộ trình phát triển sau. Tính năng nhận diện email DKIM riêng cho gói cao cấp (cột "Email DKIM-verified" cho PRO_PLUS) cũng thuộc lộ trình phát triển sau.</w:t>
      </w:r>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pPr>
        <w:spacing w:line="288" w:lineRule="auto"/>
        <w:ind w:firstLine="567"/>
        <w:jc w:val="both"/>
      </w:pPr>
      <w:r>
        <w:rPr>
          <w:rFonts w:ascii="Times New Roman" w:hAnsi="Times New Roman" w:eastAsia="Times New Roman"/>
          <w:b w:val="0"/>
          <w:i w:val="0"/>
          <w:sz w:val="26"/>
        </w:rPr>
        <w:t>Roadmap lộ trình phát triển sau: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Công nghệ sử dụng</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1.5+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Hiện tại,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20" name="Picture 20"/>
            <wp:cNvGraphicFramePr>
              <a:graphicFrameLocks noChangeAspect="1"/>
            </wp:cNvGraphicFramePr>
            <a:graphic>
              <a:graphicData uri="http://schemas.openxmlformats.org/drawingml/2006/picture">
                <pic:pic>
                  <pic:nvPicPr>
                    <pic:cNvPr id="0" name="mermaid-f91993f073a5141c.png"/>
                    <pic:cNvPicPr/>
                  </pic:nvPicPr>
                  <pic:blipFill>
                    <a:blip r:embed="rId28"/>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lộ trình phát triển sau hoặc lộ trình phát triển sau tùy mức ưu tiên.</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21" name="Picture 21"/>
            <wp:cNvGraphicFramePr>
              <a:graphicFrameLocks noChangeAspect="1"/>
            </wp:cNvGraphicFramePr>
            <a:graphic>
              <a:graphicData uri="http://schemas.openxmlformats.org/drawingml/2006/picture">
                <pic:pic>
                  <pic:nvPicPr>
                    <pic:cNvPr id="0" name="plantuml-294497237df6674e.png"/>
                    <pic:cNvPicPr/>
                  </pic:nvPicPr>
                  <pic:blipFill>
                    <a:blip r:embed="rId29"/>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2" name="Picture 22"/>
            <wp:cNvGraphicFramePr>
              <a:graphicFrameLocks noChangeAspect="1"/>
            </wp:cNvGraphicFramePr>
            <a:graphic>
              <a:graphicData uri="http://schemas.openxmlformats.org/drawingml/2006/picture">
                <pic:pic>
                  <pic:nvPicPr>
                    <pic:cNvPr id="0" name="plantuml-e506096e358f22e1.png"/>
                    <pic:cNvPicPr/>
                  </pic:nvPicPr>
                  <pic:blipFill>
                    <a:blip r:embed="rId30"/>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§2.2.3)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§2.2.4).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810638"/>
            <wp:docPr id="23" name="Picture 23"/>
            <wp:cNvGraphicFramePr>
              <a:graphicFrameLocks noChangeAspect="1"/>
            </wp:cNvGraphicFramePr>
            <a:graphic>
              <a:graphicData uri="http://schemas.openxmlformats.org/drawingml/2006/picture">
                <pic:pic>
                  <pic:nvPicPr>
                    <pic:cNvPr id="0" name="mermaid-60538a9e5a241a58.png"/>
                    <pic:cNvPicPr/>
                  </pic:nvPicPr>
                  <pic:blipFill>
                    <a:blip r:embed="rId31"/>
                    <a:stretch>
                      <a:fillRect/>
                    </a:stretch>
                  </pic:blipFill>
                  <pic:spPr>
                    <a:xfrm>
                      <a:off x="0" y="0"/>
                      <a:ext cx="5760000" cy="281063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953065"/>
            <wp:docPr id="24" name="Picture 24"/>
            <wp:cNvGraphicFramePr>
              <a:graphicFrameLocks noChangeAspect="1"/>
            </wp:cNvGraphicFramePr>
            <a:graphic>
              <a:graphicData uri="http://schemas.openxmlformats.org/drawingml/2006/picture">
                <pic:pic>
                  <pic:nvPicPr>
                    <pic:cNvPr id="0" name="mermaid-fc29fe5a3a5711a8.png"/>
                    <pic:cNvPicPr/>
                  </pic:nvPicPr>
                  <pic:blipFill>
                    <a:blip r:embed="rId32"/>
                    <a:stretch>
                      <a:fillRect/>
                    </a:stretch>
                  </pic:blipFill>
                  <pic:spPr>
                    <a:xfrm>
                      <a:off x="0" y="0"/>
                      <a:ext cx="5760000" cy="295306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Sky Education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[Phần này sẽ điền sau khi thu thập phản hồi từ các tenant thử nghiệm trong hiện tại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chính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phản hồi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(số người dùng hoạt động, số lần sinh AI Branding, số giao dịch thanh toán đã xử lý) trong cửa sổ 2-4 tuần đầu sau khi mời thử nghiệm.</w:t>
      </w:r>
    </w:p>
    <w:p>
      <w:pPr>
        <w:pStyle w:val="ListBullet"/>
        <w:spacing w:line="288" w:lineRule="auto"/>
        <w:ind w:left="850" w:hanging="283"/>
      </w:pPr>
      <w:r>
        <w:rPr>
          <w:rFonts w:ascii="Times New Roman" w:hAnsi="Times New Roman" w:eastAsia="Times New Roman"/>
          <w:b w:val="0"/>
          <w:i w:val="0"/>
          <w:sz w:val="26"/>
        </w:rPr>
        <w:t>Ảnh chụp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triển khai hiện tại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triển khai hiện tại chỉ phục vụ ba nhóm người dùng (giáo viên độc lập, chủ sở hữu trung tâm, quản lý trung tâm); nhóm phụ huynh và học viên thuộc phân khúc K-12 thuộc lộ trình phát triển sau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phạm vi triển khai hiện tại mới có hai giáo viên độc lập (một gói miễn phí, một gói trả phí)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thuộc lộ trình phát triển sau.</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6"/>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header" Target="header1.xml"/><Relationship Id="rId34" Type="http://schemas.openxmlformats.org/officeDocument/2006/relationships/header" Target="header2.xml"/><Relationship Id="rId35" Type="http://schemas.openxmlformats.org/officeDocument/2006/relationships/header" Target="header3.xml"/><Relationship Id="rId36"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