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31"/>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 giáo viên môn Tin học tại Trường Tiểu học Hòa Chính, và thầy Nguyễn Đình Nhì —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 tháng … năm 2026</w:t>
      </w:r>
    </w:p>
    <w:p>
      <w:pPr>
        <w:spacing w:after="0"/>
        <w:jc w:val="right"/>
      </w:pPr>
      <w:r>
        <w:rPr>
          <w:rFonts w:ascii="Times New Roman" w:hAnsi="Times New Roman" w:eastAsia="Times New Roman"/>
          <w:b/>
          <w:i w:val="0"/>
          <w:sz w:val="26"/>
        </w:rPr>
        <w:t>Sinh viên thực hiện</w:t>
      </w:r>
    </w:p>
    <w:p>
      <w:pPr>
        <w:sectPr>
          <w:headerReference w:type="default" r:id="rId32"/>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AI</w:t>
            </w:r>
          </w:p>
        </w:tc>
        <w:tc>
          <w:tcPr>
            <w:tcW w:type="dxa" w:w="7087"/>
          </w:tcPr>
          <w:p>
            <w:r>
              <w:rPr>
                <w:rFonts w:ascii="Times New Roman" w:hAnsi="Times New Roman" w:eastAsia="Times New Roman"/>
                <w:b w:val="0"/>
                <w:i w:val="0"/>
                <w:sz w:val="24"/>
              </w:rPr>
              <w:t>Artificial Intelligence — trí tuệ nhân tạo</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 — giao diện lập trình ứng dụng</w:t>
            </w:r>
          </w:p>
        </w:tc>
      </w:tr>
      <w:tr>
        <w:tc>
          <w:tcPr>
            <w:tcW w:type="dxa" w:w="1984"/>
          </w:tcPr>
          <w:p>
            <w:r>
              <w:rPr>
                <w:rFonts w:ascii="Times New Roman" w:hAnsi="Times New Roman" w:eastAsia="Times New Roman"/>
                <w:b/>
                <w:i w:val="0"/>
                <w:sz w:val="24"/>
              </w:rPr>
              <w:t>C4</w:t>
            </w:r>
          </w:p>
        </w:tc>
        <w:tc>
          <w:tcPr>
            <w:tcW w:type="dxa" w:w="7087"/>
          </w:tcPr>
          <w:p>
            <w:r>
              <w:rPr>
                <w:rFonts w:ascii="Times New Roman" w:hAnsi="Times New Roman" w:eastAsia="Times New Roman"/>
                <w:b w:val="0"/>
                <w:i w:val="0"/>
                <w:sz w:val="24"/>
              </w:rPr>
              <w:t>Mô hình mô tả kiến trúc phần mềm 4 cấp: Context, Container, Component, Code</w:t>
            </w:r>
          </w:p>
        </w:tc>
      </w:tr>
      <w:tr>
        <w:tc>
          <w:tcPr>
            <w:tcW w:type="dxa" w:w="1984"/>
          </w:tcPr>
          <w:p>
            <w:r>
              <w:rPr>
                <w:rFonts w:ascii="Times New Roman" w:hAnsi="Times New Roman" w:eastAsia="Times New Roman"/>
                <w:b/>
                <w:i w:val="0"/>
                <w:sz w:val="24"/>
              </w:rPr>
              <w:t>CDN</w:t>
            </w:r>
          </w:p>
        </w:tc>
        <w:tc>
          <w:tcPr>
            <w:tcW w:type="dxa" w:w="7087"/>
          </w:tcPr>
          <w:p>
            <w:r>
              <w:rPr>
                <w:rFonts w:ascii="Times New Roman" w:hAnsi="Times New Roman" w:eastAsia="Times New Roman"/>
                <w:b w:val="0"/>
                <w:i w:val="0"/>
                <w:sz w:val="24"/>
              </w:rPr>
              <w:t>Content Delivery Network — mạng phân phối nội dung</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 — tích hợp / triển khai liên tục</w:t>
            </w:r>
          </w:p>
        </w:tc>
      </w:tr>
      <w:tr>
        <w:tc>
          <w:tcPr>
            <w:tcW w:type="dxa" w:w="1984"/>
          </w:tcPr>
          <w:p>
            <w:r>
              <w:rPr>
                <w:rFonts w:ascii="Times New Roman" w:hAnsi="Times New Roman" w:eastAsia="Times New Roman"/>
                <w:b/>
                <w:i w:val="0"/>
                <w:sz w:val="24"/>
              </w:rPr>
              <w:t>CRM</w:t>
            </w:r>
          </w:p>
        </w:tc>
        <w:tc>
          <w:tcPr>
            <w:tcW w:type="dxa" w:w="7087"/>
          </w:tcPr>
          <w:p>
            <w:r>
              <w:rPr>
                <w:rFonts w:ascii="Times New Roman" w:hAnsi="Times New Roman" w:eastAsia="Times New Roman"/>
                <w:b w:val="0"/>
                <w:i w:val="0"/>
                <w:sz w:val="24"/>
              </w:rPr>
              <w:t>Customer Relationship Management — quản lý quan hệ khách hàng</w:t>
            </w:r>
          </w:p>
        </w:tc>
      </w:tr>
      <w:tr>
        <w:tc>
          <w:tcPr>
            <w:tcW w:type="dxa" w:w="1984"/>
          </w:tcPr>
          <w:p>
            <w:r>
              <w:rPr>
                <w:rFonts w:ascii="Times New Roman" w:hAnsi="Times New Roman" w:eastAsia="Times New Roman"/>
                <w:b/>
                <w:i w:val="0"/>
                <w:sz w:val="24"/>
              </w:rPr>
              <w:t>DCV</w:t>
            </w:r>
          </w:p>
        </w:tc>
        <w:tc>
          <w:tcPr>
            <w:tcW w:type="dxa" w:w="7087"/>
          </w:tcPr>
          <w:p>
            <w:r>
              <w:rPr>
                <w:rFonts w:ascii="Times New Roman" w:hAnsi="Times New Roman" w:eastAsia="Times New Roman"/>
                <w:b w:val="0"/>
                <w:i w:val="0"/>
                <w:sz w:val="24"/>
              </w:rPr>
              <w:t>Domain Control Validation — xác thực quyền kiểm soát tên miền</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 — thiết kế hướng miền</w:t>
            </w:r>
          </w:p>
        </w:tc>
      </w:tr>
      <w:tr>
        <w:tc>
          <w:tcPr>
            <w:tcW w:type="dxa" w:w="1984"/>
          </w:tcPr>
          <w:p>
            <w:r>
              <w:rPr>
                <w:rFonts w:ascii="Times New Roman" w:hAnsi="Times New Roman" w:eastAsia="Times New Roman"/>
                <w:b/>
                <w:i w:val="0"/>
                <w:sz w:val="24"/>
              </w:rPr>
              <w:t>DDoS</w:t>
            </w:r>
          </w:p>
        </w:tc>
        <w:tc>
          <w:tcPr>
            <w:tcW w:type="dxa" w:w="7087"/>
          </w:tcPr>
          <w:p>
            <w:r>
              <w:rPr>
                <w:rFonts w:ascii="Times New Roman" w:hAnsi="Times New Roman" w:eastAsia="Times New Roman"/>
                <w:b w:val="0"/>
                <w:i w:val="0"/>
                <w:sz w:val="24"/>
              </w:rPr>
              <w:t>Distributed Denial of Service — tấn công từ chối dịch vụ phân tán</w:t>
            </w:r>
          </w:p>
        </w:tc>
      </w:tr>
      <w:tr>
        <w:tc>
          <w:tcPr>
            <w:tcW w:type="dxa" w:w="1984"/>
          </w:tcPr>
          <w:p>
            <w:r>
              <w:rPr>
                <w:rFonts w:ascii="Times New Roman" w:hAnsi="Times New Roman" w:eastAsia="Times New Roman"/>
                <w:b/>
                <w:i w:val="0"/>
                <w:sz w:val="24"/>
              </w:rPr>
              <w:t>DKIM</w:t>
            </w:r>
          </w:p>
        </w:tc>
        <w:tc>
          <w:tcPr>
            <w:tcW w:type="dxa" w:w="7087"/>
          </w:tcPr>
          <w:p>
            <w:r>
              <w:rPr>
                <w:rFonts w:ascii="Times New Roman" w:hAnsi="Times New Roman" w:eastAsia="Times New Roman"/>
                <w:b w:val="0"/>
                <w:i w:val="0"/>
                <w:sz w:val="24"/>
              </w:rPr>
              <w:t>DomainKeys Identified Mail — chữ ký số xác thực email theo tên miền</w:t>
            </w:r>
          </w:p>
        </w:tc>
      </w:tr>
      <w:tr>
        <w:tc>
          <w:tcPr>
            <w:tcW w:type="dxa" w:w="1984"/>
          </w:tcPr>
          <w:p>
            <w:r>
              <w:rPr>
                <w:rFonts w:ascii="Times New Roman" w:hAnsi="Times New Roman" w:eastAsia="Times New Roman"/>
                <w:b/>
                <w:i w:val="0"/>
                <w:sz w:val="24"/>
              </w:rPr>
              <w:t>DMARC</w:t>
            </w:r>
          </w:p>
        </w:tc>
        <w:tc>
          <w:tcPr>
            <w:tcW w:type="dxa" w:w="7087"/>
          </w:tcPr>
          <w:p>
            <w:r>
              <w:rPr>
                <w:rFonts w:ascii="Times New Roman" w:hAnsi="Times New Roman" w:eastAsia="Times New Roman"/>
                <w:b w:val="0"/>
                <w:i w:val="0"/>
                <w:sz w:val="24"/>
              </w:rPr>
              <w:t>Domain-based Message Authentication, Reporting and Conformance — chính sách chống giả mạo email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DSAR</w:t>
            </w:r>
          </w:p>
        </w:tc>
        <w:tc>
          <w:tcPr>
            <w:tcW w:type="dxa" w:w="7087"/>
          </w:tcPr>
          <w:p>
            <w:r>
              <w:rPr>
                <w:rFonts w:ascii="Times New Roman" w:hAnsi="Times New Roman" w:eastAsia="Times New Roman"/>
                <w:b w:val="0"/>
                <w:i w:val="0"/>
                <w:sz w:val="24"/>
              </w:rPr>
              <w:t>Data Subject Access Request — yêu cầu truy cập dữ liệu của chủ thể dữ liệu</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ERD</w:t>
            </w:r>
          </w:p>
        </w:tc>
        <w:tc>
          <w:tcPr>
            <w:tcW w:type="dxa" w:w="7087"/>
          </w:tcPr>
          <w:p>
            <w:r>
              <w:rPr>
                <w:rFonts w:ascii="Times New Roman" w:hAnsi="Times New Roman" w:eastAsia="Times New Roman"/>
                <w:b w:val="0"/>
                <w:i w:val="0"/>
                <w:sz w:val="24"/>
              </w:rPr>
              <w:t>Entity-Relationship Diagram — sơ đồ thực thể-quan hệ</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 — Tổ chức Tiêu chuẩn hóa Quốc tế</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K-12</w:t>
            </w:r>
          </w:p>
        </w:tc>
        <w:tc>
          <w:tcPr>
            <w:tcW w:type="dxa" w:w="7087"/>
          </w:tcPr>
          <w:p>
            <w:r>
              <w:rPr>
                <w:rFonts w:ascii="Times New Roman" w:hAnsi="Times New Roman" w:eastAsia="Times New Roman"/>
                <w:b w:val="0"/>
                <w:i w:val="0"/>
                <w:sz w:val="24"/>
              </w:rPr>
              <w:t>Kindergarten to Grade 12 — bậc giáo dục phổ thông từ mẫu giáo đến lớp 12</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Lean</w:t>
            </w:r>
          </w:p>
        </w:tc>
        <w:tc>
          <w:tcPr>
            <w:tcW w:type="dxa" w:w="7087"/>
          </w:tcPr>
          <w:p>
            <w:r>
              <w:rPr>
                <w:rFonts w:ascii="Times New Roman" w:hAnsi="Times New Roman" w:eastAsia="Times New Roman"/>
                <w:b w:val="0"/>
                <w:i w:val="0"/>
                <w:sz w:val="24"/>
              </w:rPr>
              <w:t>Lean Software Development — phát triển phần mềm tinh gọn (Poppendieck)</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NFR</w:t>
            </w:r>
          </w:p>
        </w:tc>
        <w:tc>
          <w:tcPr>
            <w:tcW w:type="dxa" w:w="7087"/>
          </w:tcPr>
          <w:p>
            <w:r>
              <w:rPr>
                <w:rFonts w:ascii="Times New Roman" w:hAnsi="Times New Roman" w:eastAsia="Times New Roman"/>
                <w:b w:val="0"/>
                <w:i w:val="0"/>
                <w:sz w:val="24"/>
              </w:rPr>
              <w:t>Non-Functional Requirement — yêu cầu phi chức năng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PDCA</w:t>
            </w:r>
          </w:p>
        </w:tc>
        <w:tc>
          <w:tcPr>
            <w:tcW w:type="dxa" w:w="7087"/>
          </w:tcPr>
          <w:p>
            <w:r>
              <w:rPr>
                <w:rFonts w:ascii="Times New Roman" w:hAnsi="Times New Roman" w:eastAsia="Times New Roman"/>
                <w:b w:val="0"/>
                <w:i w:val="0"/>
                <w:sz w:val="24"/>
              </w:rPr>
              <w:t>Plan-Do-Check-Act — chu trình cải tiến chất lượng (Deming)</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 — bảo mật mức hàng</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 — phần mềm dạng dịch vụ</w:t>
            </w:r>
          </w:p>
        </w:tc>
      </w:tr>
      <w:tr>
        <w:tc>
          <w:tcPr>
            <w:tcW w:type="dxa" w:w="1984"/>
          </w:tcPr>
          <w:p>
            <w:r>
              <w:rPr>
                <w:rFonts w:ascii="Times New Roman" w:hAnsi="Times New Roman" w:eastAsia="Times New Roman"/>
                <w:b/>
                <w:i w:val="0"/>
                <w:sz w:val="24"/>
              </w:rPr>
              <w:t>SDXL</w:t>
            </w:r>
          </w:p>
        </w:tc>
        <w:tc>
          <w:tcPr>
            <w:tcW w:type="dxa" w:w="7087"/>
          </w:tcPr>
          <w:p>
            <w:r>
              <w:rPr>
                <w:rFonts w:ascii="Times New Roman" w:hAnsi="Times New Roman" w:eastAsia="Times New Roman"/>
                <w:b w:val="0"/>
                <w:i w:val="0"/>
                <w:sz w:val="24"/>
              </w:rPr>
              <w:t>Stable Diffusion XL — mô hình sinh ảnh từ văn bản</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SLA</w:t>
            </w:r>
          </w:p>
        </w:tc>
        <w:tc>
          <w:tcPr>
            <w:tcW w:type="dxa" w:w="7087"/>
          </w:tcPr>
          <w:p>
            <w:r>
              <w:rPr>
                <w:rFonts w:ascii="Times New Roman" w:hAnsi="Times New Roman" w:eastAsia="Times New Roman"/>
                <w:b w:val="0"/>
                <w:i w:val="0"/>
                <w:sz w:val="24"/>
              </w:rPr>
              <w:t>Service Level Agreement — cam kết mức dịch vụ</w:t>
            </w:r>
          </w:p>
        </w:tc>
      </w:tr>
      <w:tr>
        <w:tc>
          <w:tcPr>
            <w:tcW w:type="dxa" w:w="1984"/>
          </w:tcPr>
          <w:p>
            <w:r>
              <w:rPr>
                <w:rFonts w:ascii="Times New Roman" w:hAnsi="Times New Roman" w:eastAsia="Times New Roman"/>
                <w:b/>
                <w:i w:val="0"/>
                <w:sz w:val="24"/>
              </w:rPr>
              <w:t>SPF</w:t>
            </w:r>
          </w:p>
        </w:tc>
        <w:tc>
          <w:tcPr>
            <w:tcW w:type="dxa" w:w="7087"/>
          </w:tcPr>
          <w:p>
            <w:r>
              <w:rPr>
                <w:rFonts w:ascii="Times New Roman" w:hAnsi="Times New Roman" w:eastAsia="Times New Roman"/>
                <w:b w:val="0"/>
                <w:i w:val="0"/>
                <w:sz w:val="24"/>
              </w:rPr>
              <w:t>Sender Policy Framework — bản ghi xác thực nguồn gửi email</w:t>
            </w:r>
          </w:p>
        </w:tc>
      </w:tr>
      <w:tr>
        <w:tc>
          <w:tcPr>
            <w:tcW w:type="dxa" w:w="1984"/>
          </w:tcPr>
          <w:p>
            <w:r>
              <w:rPr>
                <w:rFonts w:ascii="Times New Roman" w:hAnsi="Times New Roman" w:eastAsia="Times New Roman"/>
                <w:b/>
                <w:i w:val="0"/>
                <w:sz w:val="24"/>
              </w:rPr>
              <w:t>SSG</w:t>
            </w:r>
          </w:p>
        </w:tc>
        <w:tc>
          <w:tcPr>
            <w:tcW w:type="dxa" w:w="7087"/>
          </w:tcPr>
          <w:p>
            <w:r>
              <w:rPr>
                <w:rFonts w:ascii="Times New Roman" w:hAnsi="Times New Roman" w:eastAsia="Times New Roman"/>
                <w:b w:val="0"/>
                <w:i w:val="0"/>
                <w:sz w:val="24"/>
              </w:rPr>
              <w:t>Static Site Generation — sinh trang tĩnh</w:t>
            </w:r>
          </w:p>
        </w:tc>
      </w:tr>
      <w:tr>
        <w:tc>
          <w:tcPr>
            <w:tcW w:type="dxa" w:w="1984"/>
          </w:tcPr>
          <w:p>
            <w:r>
              <w:rPr>
                <w:rFonts w:ascii="Times New Roman" w:hAnsi="Times New Roman" w:eastAsia="Times New Roman"/>
                <w:b/>
                <w:i w:val="0"/>
                <w:sz w:val="24"/>
              </w:rPr>
              <w:t>SSR</w:t>
            </w:r>
          </w:p>
        </w:tc>
        <w:tc>
          <w:tcPr>
            <w:tcW w:type="dxa" w:w="7087"/>
          </w:tcPr>
          <w:p>
            <w:r>
              <w:rPr>
                <w:rFonts w:ascii="Times New Roman" w:hAnsi="Times New Roman" w:eastAsia="Times New Roman"/>
                <w:b w:val="0"/>
                <w:i w:val="0"/>
                <w:sz w:val="24"/>
              </w:rPr>
              <w:t>Server-Side Rendering — kết xuất phía máy chủ</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 — phát triển hướng kiểm thử</w:t>
            </w:r>
          </w:p>
        </w:tc>
      </w:tr>
      <w:tr>
        <w:tc>
          <w:tcPr>
            <w:tcW w:type="dxa" w:w="1984"/>
          </w:tcPr>
          <w:p>
            <w:r>
              <w:rPr>
                <w:rFonts w:ascii="Times New Roman" w:hAnsi="Times New Roman" w:eastAsia="Times New Roman"/>
                <w:b/>
                <w:i w:val="0"/>
                <w:sz w:val="24"/>
              </w:rPr>
              <w:t>TLS</w:t>
            </w:r>
          </w:p>
        </w:tc>
        <w:tc>
          <w:tcPr>
            <w:tcW w:type="dxa" w:w="7087"/>
          </w:tcPr>
          <w:p>
            <w:r>
              <w:rPr>
                <w:rFonts w:ascii="Times New Roman" w:hAnsi="Times New Roman" w:eastAsia="Times New Roman"/>
                <w:b w:val="0"/>
                <w:i w:val="0"/>
                <w:sz w:val="24"/>
              </w:rPr>
              <w:t>Transport Layer Security — bảo mật tầng truyền tải</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UUID</w:t>
            </w:r>
          </w:p>
        </w:tc>
        <w:tc>
          <w:tcPr>
            <w:tcW w:type="dxa" w:w="7087"/>
          </w:tcPr>
          <w:p>
            <w:r>
              <w:rPr>
                <w:rFonts w:ascii="Times New Roman" w:hAnsi="Times New Roman" w:eastAsia="Times New Roman"/>
                <w:b w:val="0"/>
                <w:i w:val="0"/>
                <w:sz w:val="24"/>
              </w:rPr>
              <w:t>Universally Unique Identifier — định danh duy nhất toàn cục</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WAF</w:t>
            </w:r>
          </w:p>
        </w:tc>
        <w:tc>
          <w:tcPr>
            <w:tcW w:type="dxa" w:w="7087"/>
          </w:tcPr>
          <w:p>
            <w:r>
              <w:rPr>
                <w:rFonts w:ascii="Times New Roman" w:hAnsi="Times New Roman" w:eastAsia="Times New Roman"/>
                <w:b w:val="0"/>
                <w:i w:val="0"/>
                <w:sz w:val="24"/>
              </w:rPr>
              <w:t>Web Application Firewall — tường lửa ứng dụng web</w:t>
            </w:r>
          </w:p>
        </w:tc>
      </w:tr>
      <w:tr>
        <w:tc>
          <w:tcPr>
            <w:tcW w:type="dxa" w:w="1984"/>
          </w:tcPr>
          <w:p>
            <w:r>
              <w:rPr>
                <w:rFonts w:ascii="Times New Roman" w:hAnsi="Times New Roman" w:eastAsia="Times New Roman"/>
                <w:b/>
                <w:i w:val="0"/>
                <w:sz w:val="24"/>
              </w:rPr>
              <w:t>WCAG</w:t>
            </w:r>
          </w:p>
        </w:tc>
        <w:tc>
          <w:tcPr>
            <w:tcW w:type="dxa" w:w="7087"/>
          </w:tcPr>
          <w:p>
            <w:r>
              <w:rPr>
                <w:rFonts w:ascii="Times New Roman" w:hAnsi="Times New Roman" w:eastAsia="Times New Roman"/>
                <w:b w:val="0"/>
                <w:i w:val="0"/>
                <w:sz w:val="24"/>
              </w:rPr>
              <w:t>Web Content Accessibility Guidelines — hướng dẫn truy cập nội dung web</w:t>
            </w:r>
          </w:p>
        </w:tc>
      </w:tr>
      <w:tr>
        <w:tc>
          <w:tcPr>
            <w:tcW w:type="dxa" w:w="1984"/>
          </w:tcPr>
          <w:p>
            <w:r>
              <w:rPr>
                <w:rFonts w:ascii="Times New Roman" w:hAnsi="Times New Roman" w:eastAsia="Times New Roman"/>
                <w:b/>
                <w:i w:val="0"/>
                <w:sz w:val="24"/>
              </w:rPr>
              <w:t>ZNS</w:t>
            </w:r>
          </w:p>
        </w:tc>
        <w:tc>
          <w:tcPr>
            <w:tcW w:type="dxa" w:w="7087"/>
          </w:tcPr>
          <w:p>
            <w:r>
              <w:rPr>
                <w:rFonts w:ascii="Times New Roman" w:hAnsi="Times New Roman" w:eastAsia="Times New Roman"/>
                <w:b w:val="0"/>
                <w:i w:val="0"/>
                <w:sz w:val="24"/>
              </w:rPr>
              <w:t>Zalo Notification Service — dịch vụ thông báo qua Zalo</w:t>
            </w:r>
          </w:p>
        </w:tc>
      </w:tr>
    </w:tbl>
    <w:p>
      <w:pPr>
        <w:sectPr>
          <w:headerReference w:type="default" r:id="rId33"/>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(Software as a Service — phần mềm dạng dịch vụ) đa-tenant gốc, ưu tiên trải nghiệm người dùng tiếng Việt, và tự động hóa các tác vụ nhận diện thương hiệu bằng trí tuệ nhân tạo (AI — Artificial Intelligence)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Luật Bảo vệ Dữ liệu Cá nhân 2023 (PDPL — Personal Data Protection Law),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để duy trì chất lượng mã nguồn và tài liệu trong suốt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phục vụ nhóm trung tâm giáo dục thương mại tại Việt Nam (Hà Nội, TP. Hồ Chí Minh và các tỉnh lân cận). Về thời gian, phạm vi triển khai kéo dài từ tháng 5/2026 đến hết giai đoạn thử nghiệm tenant (~tháng 9/2026), với hai giáo viên độc lập (một dùng gói miễn phí, một dùng gói premium) trực tiếp sử dụng sản phẩm trong thực tế giảng dạy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nhóm người dùng chính: giáo viên độc lập (Solo Teacher, 1-50 học viên), chủ sở hữu trung tâm (Center Owner, 1-10 chi nhánh, 100-2.000 học viên), và quản lý trung tâm (Center Manager). Nhóm phụ huynh (Parent) và học viên (Student) thuộc phân khúc K-12 (Kindergarten to Grade 12 — bậc giáo dục phổ thông từ mẫu giáo đến lớp 12) được hoãn sang giai đoạn mở rộng K-12 do yêu cầu bổ sung DPO (Data Protection Officer — cán bộ bảo vệ dữ liệu) và DPIA (Data Protection Impact Assessment — đánh giá tác động bảo vệ dữ liệu)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phát triển hướng kiểm thử (TDD — Test-Driven Development, per Beck 2002), thiết kế hướng miền (DDD — Domain-Driven Design, per Evans 2003), chu trình Plan-Do-Check-Act (PDCA, per Deming 1986) và tư duy tinh gọn (Lean, per Poppendieck 2003) — mỗi vấn đề phát hiện được chuyển hóa thành quy tắc kiểm soát kèm cơ chế kiểm tra tự động, tích hợp ngay trong quy trình phát triển.</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 Application Programming Interface — Contract, Business Logic, Ops Readiness) chấm điểm /100 hoặc /128 định kỳ sau mỗi giai đoạn phát triển.</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(mô hình mô tả kiến trúc phần mềm bốn cấp Context-Container-Component-Code), kết hợp Use Case + Class + ERD (Entity-Relationship Diagram — sơ đồ thực thể-quan hệ)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truyền ngữ cảnh qua JWT — JSON Web Token, kiến trúc REST — Representational State Transfer — 3 tầng) được kiểm chứng qua unit test, integration test và E2E test. Thứ tư, đồ án trình bày kết quả triển khai thực tế trong giai đoạn thử nghiệm tenant kèm các KPI (Key Performance Indicator — chỉ số hiệu suất chính)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về bài toán: phân tích hiện trạng thị trường, khảo sát các hệ thống tham khảo,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Phân tích và thiết kế hệ thống: yêu cầu chức năng và phi chức năng, mô hình hóa C4 Context + Container, sơ đồ use case, kiến trúc đa tenant single-bucket với defense-in-depth năm lớp.</w:t>
      </w:r>
    </w:p>
    <w:p>
      <w:pPr>
        <w:pStyle w:val="ListBullet"/>
        <w:spacing w:line="288" w:lineRule="auto"/>
        <w:ind w:left="850" w:hanging="283"/>
      </w:pPr>
      <w:r>
        <w:rPr>
          <w:rFonts w:ascii="Times New Roman" w:hAnsi="Times New Roman" w:eastAsia="Times New Roman"/>
          <w:b w:val="0"/>
          <w:i w:val="0"/>
          <w:sz w:val="26"/>
        </w:rPr>
        <w:t>Chương 3 — Phân tích, thiết kế và triển khai hệ thống: triển khai giao diện sản phẩm, đoạn mã đại diện cho các luồng nghiệp vụ then chốt, bộ kiểm thử ba lớp (unit / integration / E2E) với các trường hợp kiểm thử mẫu cụ thể.</w:t>
      </w:r>
    </w:p>
    <w:p>
      <w:pPr>
        <w:pStyle w:val="ListBullet"/>
        <w:spacing w:line="288" w:lineRule="auto"/>
        <w:ind w:left="850" w:hanging="283"/>
      </w:pPr>
      <w:r>
        <w:rPr>
          <w:rFonts w:ascii="Times New Roman" w:hAnsi="Times New Roman" w:eastAsia="Times New Roman"/>
          <w:b w:val="0"/>
          <w:i w:val="0"/>
          <w:sz w:val="26"/>
        </w:rPr>
        <w:t>Chương 4 — Đánh giá kết quả và Kết luận: triển khai cloud AWS giai đoạn thử nghiệm tenant, luồng onboarding người dùng, các KPI đo lường, phạm vi thử nghiệm và đề xuất hướng phát triển tiếp theo.</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[5] hướng đến trường công lập K-12), hoặc thiếu UX tiếng Việt (LMS quốc tế như Moodle, Canvas), hoặc chi phí cao không phù hợp với phân khúc trung tâm tự phát (Speed Manager, EduCom với mức 50-100 USD/tháng/cơ sở).</w:t>
      </w:r>
    </w:p>
    <w:p>
      <w:pPr>
        <w:pStyle w:val="Heading3"/>
      </w:pPr>
      <w:r>
        <w:rPr>
          <w:rFonts w:ascii="Times New Roman" w:hAnsi="Times New Roman" w:eastAsia="Times New Roman"/>
          <w:b/>
          <w:color w:val="000000"/>
          <w:sz w:val="28"/>
        </w:rPr>
        <w:t>1.1.1 Bối cảnh thị trường và mô hình học hỗn hợp</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hỗn hợp (B-learning, blended learning) — kết hợp lớp học sau giờ chính khóa và cuối tuần, phân biệt với trường công lập chính khóa. Thị trường mục tiêu của đồ án là các trung tâm vừa và nhỏ với 50-500 học sinh; phạm vi K-12 (giáo dục phổ thông từ mầm non đến lớp 12) trường công có lớp tuân thủ pháp lý riêng (cán bộ bảo vệ dữ liệu DPO, đánh giá tác động bảo vệ dữ liệu DPIA, kiểm tra an ninh) được lùi sang lộ trình phát triển sau.</w:t>
      </w:r>
    </w:p>
    <w:p>
      <w:pPr>
        <w:spacing w:line="288" w:lineRule="auto"/>
        <w:ind w:firstLine="567"/>
        <w:jc w:val="both"/>
      </w:pPr>
      <w:r>
        <w:rPr>
          <w:rFonts w:ascii="Times New Roman" w:hAnsi="Times New Roman" w:eastAsia="Times New Roman"/>
          <w:b w:val="0"/>
          <w:i w:val="0"/>
          <w:sz w:val="26"/>
        </w:rPr>
        <w:t xml:space="preserve">Đặc điểm mô hình học hỗn hợp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 đến thứ 7 từ 17:00 đến 21:00; thứ 7 và Chủ nhật từ 8:00 đến 17:00). Niên khóa tháng 9 đến tháng 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học kỳ 1 (tháng 9 đến tháng 12), học kỳ 2 (tháng 1 đến tháng 5) và học kỳ hè (tháng 6 đến tháng 8). Mẹ là đầu mối liên lạc chính cho việc học của con (~60%), bố dự phòng (35%), ông bà (5%). Khung Tết Nguyên Đán nghỉ 7-10 ngày cuối tháng 1, đầu tháng 2 yêu cầu lịch chạy tự động tính phí bỏ qua. Hệ thống đã hỗ trợ email cho tài liệu chính thức và đã kết nối kênh Zalo OA cho liên lạc với phụ huynh.</w:t>
      </w:r>
    </w:p>
    <w:p>
      <w:pPr>
        <w:pStyle w:val="Heading3"/>
      </w:pPr>
      <w:r>
        <w:rPr>
          <w:rFonts w:ascii="Times New Roman" w:hAnsi="Times New Roman" w:eastAsia="Times New Roman"/>
          <w:b/>
          <w:color w:val="000000"/>
          <w:sz w:val="28"/>
        </w:rPr>
        <w:t>1.1.2 Phân tích nhóm người dùng đại diện hiện tại</w:t>
      </w:r>
    </w:p>
    <w:p>
      <w:pPr>
        <w:spacing w:line="288" w:lineRule="auto"/>
        <w:ind w:firstLine="567"/>
        <w:jc w:val="both"/>
      </w:pPr>
      <w:r>
        <w:rPr>
          <w:rFonts w:ascii="Times New Roman" w:hAnsi="Times New Roman" w:eastAsia="Times New Roman"/>
          <w:b w:val="0"/>
          <w:i w:val="0"/>
          <w:sz w:val="26"/>
        </w:rPr>
        <w:t xml:space="preserve">Đồ án tập trung bốn nhóm người dùng đại diện. </w:t>
      </w:r>
      <w:r>
        <w:rPr>
          <w:rFonts w:ascii="Times New Roman" w:hAnsi="Times New Roman" w:eastAsia="Times New Roman"/>
          <w:b/>
          <w:i w:val="0"/>
          <w:sz w:val="26"/>
        </w:rPr>
        <w:t>P1 — Giáo viên độc lập</w:t>
      </w:r>
      <w:r>
        <w:rPr>
          <w:rFonts w:ascii="Times New Roman" w:hAnsi="Times New Roman" w:eastAsia="Times New Roman"/>
          <w:b w:val="0"/>
          <w:i w:val="0"/>
          <w:sz w:val="26"/>
        </w:rPr>
        <w:t xml:space="preserve"> (28 tuổi, 5-50 học sinh, dạy IELTS/Toán) thay thế sổ tay giấy, Excel và Zalo thủ công bằng nền tảng tập trung, gói </w:t>
      </w:r>
      <w:r>
        <w:rPr>
          <w:rFonts w:ascii="Times New Roman" w:hAnsi="Times New Roman" w:eastAsia="Times New Roman"/>
          <w:b w:val="0"/>
          <w:i/>
          <w:sz w:val="26"/>
        </w:rPr>
        <w:t>FREE</w:t>
      </w:r>
      <w:r>
        <w:rPr>
          <w:rFonts w:ascii="Times New Roman" w:hAnsi="Times New Roman" w:eastAsia="Times New Roman"/>
          <w:b w:val="0"/>
          <w:i w:val="0"/>
          <w:sz w:val="26"/>
        </w:rPr>
        <w:t xml:space="preserve"> đủ dùng. </w:t>
      </w:r>
      <w:r>
        <w:rPr>
          <w:rFonts w:ascii="Times New Roman" w:hAnsi="Times New Roman" w:eastAsia="Times New Roman"/>
          <w:b/>
          <w:i w:val="0"/>
          <w:sz w:val="26"/>
        </w:rPr>
        <w:t>P2 — Chủ sở hữu trung tâm</w:t>
      </w:r>
      <w:r>
        <w:rPr>
          <w:rFonts w:ascii="Times New Roman" w:hAnsi="Times New Roman" w:eastAsia="Times New Roman"/>
          <w:b w:val="0"/>
          <w:i w:val="0"/>
          <w:sz w:val="26"/>
        </w:rPr>
        <w:t xml:space="preserve"> (35 tuổi, 20-100 học sinh, 2-5 giáo viên) thay ba công cụ rời rạc bằng nền tảng tích hợp, gói </w:t>
      </w:r>
      <w:r>
        <w:rPr>
          <w:rFonts w:ascii="Times New Roman" w:hAnsi="Times New Roman" w:eastAsia="Times New Roman"/>
          <w:b w:val="0"/>
          <w:i/>
          <w:sz w:val="26"/>
        </w:rPr>
        <w:t>STARTER</w:t>
      </w:r>
      <w:r>
        <w:rPr>
          <w:rFonts w:ascii="Times New Roman" w:hAnsi="Times New Roman" w:eastAsia="Times New Roman"/>
          <w:b w:val="0"/>
          <w:i w:val="0"/>
          <w:sz w:val="26"/>
        </w:rPr>
        <w:t xml:space="preserve">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 Quản lý trung tâm</w:t>
      </w:r>
      <w:r>
        <w:rPr>
          <w:rFonts w:ascii="Times New Roman" w:hAnsi="Times New Roman" w:eastAsia="Times New Roman"/>
          <w:b w:val="0"/>
          <w:i w:val="0"/>
          <w:sz w:val="26"/>
        </w:rPr>
        <w:t xml:space="preserve"> (24 tuổi, 100-500 học sinh, 5-15 giáo viên) cần nhập hàng loạt từ tệp CSV khoảng 300 dòng, phân quyền theo vai trò (vai trò quản lý không thấy mục thanh toán), nhật ký kiểm toán đầy đủ, gói </w:t>
      </w:r>
      <w:r>
        <w:rPr>
          <w:rFonts w:ascii="Times New Roman" w:hAnsi="Times New Roman" w:eastAsia="Times New Roman"/>
          <w:b w:val="0"/>
          <w:i/>
          <w:sz w:val="26"/>
        </w:rPr>
        <w:t>PRO</w:t>
      </w:r>
      <w:r>
        <w:rPr>
          <w:rFonts w:ascii="Times New Roman" w:hAnsi="Times New Roman" w:eastAsia="Times New Roman"/>
          <w:b w:val="0"/>
          <w:i w:val="0"/>
          <w:sz w:val="26"/>
        </w:rPr>
        <w:t xml:space="preserve">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và nhận cập nhật thường xuyên qua nhóm Zalo OA đã được kết nối; học sinh truy cập qua thiết bị di động chiếm 85% phiên.</w:t>
      </w:r>
    </w:p>
    <w:p>
      <w:pPr>
        <w:pStyle w:val="Heading2"/>
      </w:pPr>
      <w:r>
        <w:rPr>
          <w:rFonts w:ascii="Times New Roman" w:hAnsi="Times New Roman" w:eastAsia="Times New Roman"/>
          <w:b/>
          <w:color w:val="000000"/>
          <w:sz w:val="32"/>
        </w:rPr>
        <w:t>1.2 Khảo sát</w:t>
      </w:r>
    </w:p>
    <w:p>
      <w:pPr>
        <w:spacing w:line="288" w:lineRule="auto"/>
        <w:ind w:firstLine="567"/>
        <w:jc w:val="both"/>
      </w:pPr>
      <w:r>
        <w:rPr>
          <w:rFonts w:ascii="Times New Roman" w:hAnsi="Times New Roman" w:eastAsia="Times New Roman"/>
          <w:b w:val="0"/>
          <w:i w:val="0"/>
          <w:sz w:val="26"/>
        </w:rPr>
        <w:t>Để xác định cơ hội và định vị sản phẩm, đề tài tiến hành khảo sát hai khía cạnh bổ trợ: các sản phẩm phần mềm quản lý trung tâm hiện có trên thị trường, và nhu cầu thực tế từ các nhóm người dùng cuối. Phần khảo sát các hệ thống tham khảo dưới đây phân tích bốn sản phẩm tiêu biểu trong phân khúc trung tâm giáo dục tư nhân — BeeClass, Mona eLMS, Easy Edu và DotB — theo các tiêu chí phân khúc mục tiêu, mức giá, kiến trúc, khả năng tích hợp AI và mức tuân thủ pháp luật Việt Nam.</w:t>
      </w:r>
    </w:p>
    <w:p>
      <w:pPr>
        <w:pStyle w:val="Heading3"/>
      </w:pPr>
      <w:r>
        <w:rPr>
          <w:rFonts w:ascii="Times New Roman" w:hAnsi="Times New Roman" w:eastAsia="Times New Roman"/>
          <w:b/>
          <w:color w:val="000000"/>
          <w:sz w:val="28"/>
        </w:rPr>
        <w:t>1.2.1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sở hữu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quy trình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đơn tenant (single-tenant) — mỗi khách hàng có một instance cơ sở dữ liệu riêng, khó mở rộng khi trung tâm mở chi nhánh thứ năm trở lên; chưa có tính năng tự sinh tài nguyên thương hiệu bằng AI; quy trình khởi tạo yêu cầu liên hệ bộ phận kinh doanh chứ chưa hoàn toàn tự phục vụ; mức giá tuy phải chăng hơn các sản phẩm hướng doanh nghiệp nhưng vẫn cao hơn mức 500.000đ/tháng mà phân khúc trung tâm tự phát nhỏ kỳ vọng.</w:t>
      </w:r>
    </w:p>
    <w:p>
      <w:pPr>
        <w:pStyle w:val="Heading3"/>
      </w:pPr>
      <w:r>
        <w:rPr>
          <w:rFonts w:ascii="Times New Roman" w:hAnsi="Times New Roman" w:eastAsia="Times New Roman"/>
          <w:b/>
          <w:color w:val="000000"/>
          <w:sz w:val="28"/>
        </w:rPr>
        <w:t>1.2.2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ona-elms.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1.2.3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easy-edu.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đơn tenant theo từng trung tâm (khó mở rộng nhượng quyền), không có khả năng tự sinh tài nguyên thương hiệu bằng AI, quy trình khởi tạo yêu cầu liên hệ bộ phận kinh doanh chứ chưa tự phục vụ.</w:t>
      </w:r>
    </w:p>
    <w:p>
      <w:pPr>
        <w:pStyle w:val="Heading3"/>
      </w:pPr>
      <w:r>
        <w:rPr>
          <w:rFonts w:ascii="Times New Roman" w:hAnsi="Times New Roman" w:eastAsia="Times New Roman"/>
          <w:b/>
          <w:color w:val="000000"/>
          <w:sz w:val="28"/>
        </w:rPr>
        <w:t>1.2.4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dotb.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1.2.5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end-user dựa trên các báo cáo ngành công khai. Phân tích này giúp xác định những tính năng cốt lõi cần ưu tiên trong định hướng triển khai ưu tiên.</w:t>
      </w:r>
    </w:p>
    <w:p>
      <w:pPr>
        <w:spacing w:line="288" w:lineRule="auto"/>
        <w:ind w:firstLine="567"/>
        <w:jc w:val="both"/>
      </w:pPr>
      <w:r>
        <w:rPr>
          <w:rFonts w:ascii="Times New Roman" w:hAnsi="Times New Roman" w:eastAsia="Times New Roman"/>
          <w:b w:val="0"/>
          <w:i/>
          <w:sz w:val="26"/>
        </w:rPr>
        <w:t>Chủ sở hữu trung tâm (Center Owner):</w:t>
      </w:r>
      <w:r>
        <w:rPr>
          <w:rFonts w:ascii="Times New Roman" w:hAnsi="Times New Roman" w:eastAsia="Times New Roman"/>
          <w:b w:val="0"/>
          <w:i w:val="0"/>
          <w:sz w:val="26"/>
        </w:rPr>
        <w:t xml:space="preserve"> theo các báo cáo Magenest 2024 [2] và 6Wresearch 2024 [3] (cả hai truy cập ngày 20/05/2026), chủ sở hữu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(Center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phục vụ nhiều nhóm vai trò khác nhau (đa nhóm người dùng đại diện)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1.2.6 Bảng so sánh tổng hợp</w:t>
      </w:r>
    </w:p>
    <w:p>
      <w:pPr>
        <w:spacing w:line="288" w:lineRule="auto"/>
        <w:ind w:firstLine="567"/>
        <w:jc w:val="both"/>
      </w:pPr>
      <w:r>
        <w:rPr>
          <w:rFonts w:ascii="Times New Roman" w:hAnsi="Times New Roman" w:eastAsia="Times New Roman"/>
          <w:b w:val="0"/>
          <w:i w:val="0"/>
          <w:sz w:val="26"/>
        </w:rPr>
        <w:t>Bảng tổng hợp so sánh bốn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Tiêu chí</w:t>
            </w:r>
          </w:p>
        </w:tc>
        <w:tc>
          <w:tcPr>
            <w:tcW w:type="dxa" w:w="1440"/>
          </w:tcPr>
          <w:p>
            <w:pPr>
              <w:jc w:val="center"/>
            </w:pPr>
            <w:r>
              <w:rPr>
                <w:b/>
                <w:sz w:val="24"/>
              </w:rPr>
            </w:r>
            <w:r>
              <w:rPr>
                <w:rFonts w:ascii="Times New Roman" w:hAnsi="Times New Roman" w:eastAsia="Times New Roman"/>
                <w:b/>
                <w:i w:val="0"/>
                <w:sz w:val="24"/>
              </w:rPr>
              <w:t>BeeClass</w:t>
            </w:r>
          </w:p>
        </w:tc>
        <w:tc>
          <w:tcPr>
            <w:tcW w:type="dxa" w:w="1440"/>
          </w:tcPr>
          <w:p>
            <w:pPr>
              <w:jc w:val="center"/>
            </w:pPr>
            <w:r>
              <w:rPr>
                <w:b/>
                <w:sz w:val="24"/>
              </w:rPr>
            </w:r>
            <w:r>
              <w:rPr>
                <w:rFonts w:ascii="Times New Roman" w:hAnsi="Times New Roman" w:eastAsia="Times New Roman"/>
                <w:b/>
                <w:i w:val="0"/>
                <w:sz w:val="24"/>
              </w:rPr>
              <w:t>Mona eLMS</w:t>
            </w:r>
          </w:p>
        </w:tc>
        <w:tc>
          <w:tcPr>
            <w:tcW w:type="dxa" w:w="1440"/>
          </w:tcPr>
          <w:p>
            <w:pPr>
              <w:jc w:val="center"/>
            </w:pPr>
            <w:r>
              <w:rPr>
                <w:b/>
                <w:sz w:val="24"/>
              </w:rPr>
            </w:r>
            <w:r>
              <w:rPr>
                <w:rFonts w:ascii="Times New Roman" w:hAnsi="Times New Roman" w:eastAsia="Times New Roman"/>
                <w:b/>
                <w:i w:val="0"/>
                <w:sz w:val="24"/>
              </w:rPr>
              <w:t>Easy Edu</w:t>
            </w:r>
          </w:p>
        </w:tc>
        <w:tc>
          <w:tcPr>
            <w:tcW w:type="dxa" w:w="1440"/>
          </w:tcPr>
          <w:p>
            <w:pPr>
              <w:jc w:val="center"/>
            </w:pPr>
            <w:r>
              <w:rPr>
                <w:b/>
                <w:sz w:val="24"/>
              </w:rPr>
            </w:r>
            <w:r>
              <w:rPr>
                <w:rFonts w:ascii="Times New Roman" w:hAnsi="Times New Roman" w:eastAsia="Times New Roman"/>
                <w:b/>
                <w:i w:val="0"/>
                <w:sz w:val="24"/>
              </w:rPr>
              <w:t>DotB</w:t>
            </w:r>
          </w:p>
        </w:tc>
        <w:tc>
          <w:tcPr>
            <w:tcW w:type="dxa" w:w="1440"/>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440"/>
          </w:tcPr>
          <w:p>
            <w:r>
              <w:rPr>
                <w:sz w:val="24"/>
              </w:rPr>
            </w:r>
            <w:r>
              <w:rPr>
                <w:rFonts w:ascii="Times New Roman" w:hAnsi="Times New Roman" w:eastAsia="Times New Roman"/>
                <w:b w:val="0"/>
                <w:i w:val="0"/>
                <w:sz w:val="24"/>
              </w:rPr>
              <w:t>Trung tâm tiếng Anh</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Khoảng giá (đ/tháng)</w:t>
            </w:r>
          </w:p>
        </w:tc>
        <w:tc>
          <w:tcPr>
            <w:tcW w:type="dxa" w:w="1440"/>
          </w:tcPr>
          <w:p>
            <w:r>
              <w:rPr>
                <w:sz w:val="24"/>
              </w:rPr>
            </w:r>
            <w:r>
              <w:rPr>
                <w:rFonts w:ascii="Times New Roman" w:hAnsi="Times New Roman" w:eastAsia="Times New Roman"/>
                <w:b w:val="0"/>
                <w:i w:val="0"/>
                <w:sz w:val="24"/>
              </w:rPr>
              <w:t>1-3 triệu</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Onboarding tự phục vụ</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440"/>
          </w:tcPr>
          <w:p>
            <w:r>
              <w:rPr>
                <w:sz w:val="24"/>
              </w:rPr>
            </w:r>
            <w:r>
              <w:rPr>
                <w:rFonts w:ascii="Times New Roman" w:hAnsi="Times New Roman" w:eastAsia="Times New Roman"/>
                <w:b w:val="0"/>
                <w:i w:val="0"/>
                <w:sz w:val="24"/>
              </w:rPr>
              <w:t>Phiên bản sau</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Tích hợp Zalo ZNS</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Cổng thanh toán built-in</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Tuân thủ PDPL 2023 built-in</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(từ ngày đầu)</w:t>
            </w:r>
          </w:p>
        </w:tc>
      </w:tr>
      <w:tr>
        <w:tc>
          <w:tcPr>
            <w:tcW w:type="dxa" w:w="1440"/>
          </w:tcPr>
          <w:p>
            <w:r>
              <w:rPr>
                <w:sz w:val="24"/>
              </w:rPr>
            </w:r>
            <w:r>
              <w:rPr>
                <w:rFonts w:ascii="Times New Roman" w:hAnsi="Times New Roman" w:eastAsia="Times New Roman"/>
                <w:b w:val="0"/>
                <w:i w:val="0"/>
                <w:sz w:val="24"/>
              </w:rPr>
              <w:t>Hệ sinh thái OpenAPI / 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440"/>
          </w:tcPr>
          <w:p>
            <w:r>
              <w:rPr>
                <w:sz w:val="24"/>
              </w:rPr>
            </w:r>
            <w:r>
              <w:rPr>
                <w:rFonts w:ascii="Times New Roman" w:hAnsi="Times New Roman" w:eastAsia="Times New Roman"/>
                <w:b w:val="0"/>
                <w:i w:val="0"/>
                <w:sz w:val="24"/>
              </w:rPr>
              <w:t>UX trung tâm tiếng Anh</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1.3 Bài toán</w:t>
      </w:r>
    </w:p>
    <w:p>
      <w:pPr>
        <w:pStyle w:val="Heading3"/>
      </w:pPr>
      <w:r>
        <w:rPr>
          <w:rFonts w:ascii="Times New Roman" w:hAnsi="Times New Roman" w:eastAsia="Times New Roman"/>
          <w:b/>
          <w:color w:val="000000"/>
          <w:sz w:val="28"/>
        </w:rPr>
        <w:t>1.3.1 Khoảng trống thị trường và định vị hệ thống đề xuất</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spacing w:line="288" w:lineRule="auto"/>
        <w:ind w:firstLine="567"/>
        <w:jc w:val="both"/>
      </w:pPr>
      <w:r>
        <w:rPr>
          <w:rFonts w:ascii="Times New Roman" w:hAnsi="Times New Roman" w:eastAsia="Times New Roman"/>
          <w:b w:val="0"/>
          <w:i w:val="0"/>
          <w:sz w:val="26"/>
        </w:rPr>
        <w:t>Dựa trên phân tích bốn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đa tenant nguyên bản:</w:t>
      </w:r>
      <w:r>
        <w:rPr>
          <w:rFonts w:ascii="Times New Roman" w:hAnsi="Times New Roman" w:eastAsia="Times New Roman"/>
          <w:b w:val="0"/>
          <w:i w:val="0"/>
          <w:sz w:val="26"/>
        </w:rPr>
        <w:t xml:space="preserve"> cả năm hệ thống tham khảo đều triển khai theo mô hình đơn tenant — mỗi khách hàng tương ứng một instance cơ sở dữ liệu riêng. Khi trung tâm mở rộng lên năm chi nhánh trở lên, chủ sở hữu trung tâm phải cấp phát thêm instance, đồng bộ dữ liệu thủ công và sao chép cấu hình. Hệ thống đề xuất sử dụng kiến trúc đa tenant nguyên bản với cô lập ở mức cơ sở dữ liệu (mỗi tenant một schema riêng),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sở hữu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1.3.2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tăng trưởng dẫn dắt bởi sản phẩm (PLG — Product-Led Growth) có thể bắt đầu từ phân khúc này và mở rộng lên cao hơn khi sản phẩm trưởng thành. Thời hạn PDPL ngày 01/07/2026 yêu cầu hơn 50.000 trung tâm phải tuân thủ trong khoảng bảy tuần (đến cuối tháng 6/2026), tạo lợi thế cạnh tranh tại thời điểm vàng cho hệ thống đề xuất với khả năng tuân thủ tích hợp sẵn. Bên cạnh đó, mô hình nhượng quyền (Apollo English, ILA, Wall Street English) đang phát triển — kiến trúc đa tenant phù hợp với lộ trình mở rộng nhượng quyền tốt hơn so với kiến trúc đơn 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gốc và tích hợp Zalo ZNS push notification sang lộ trình phát triển sau có rủi ro mất khách so với Mona eLMS và Easy Edu vốn đã có ứng dụng gốc — giải pháp giảm thiểu là giao diện web đáp ứng kết hợp nhóm Zalo đã được triển khai, ưu tiên ứng dụng di động gốc cho lộ trình phát triển sau. Cổng thanh toán cũng là điểm yếu khi DotB có sẵn ba cổng tích hợp — hệ thống đề xuất hiện tại sử dụng chuyển khoản ngân hàng kết hợp VietQR (không cần cổng), lộ trình phát triển sau bao gồm tích hợp cổng VNPay. Cuối cùng, nhận diện thương hiệu là rào cản khi Easy Edu và Mona eLMS có nhiều năm hiện diện thị trường trong khi hệ thống đề xuất mới ra mắt — giải pháp giảm thiểu là tiếp cận tăng trưởng dẫn dắt bởi sản phẩm, tiếp thị nội dung tiếng Việt và chương trình người dùng tiên phong với các trung tâm thử nghiệm.</w:t>
      </w:r>
    </w:p>
    <w:p>
      <w:pPr>
        <w:pStyle w:val="Heading3"/>
      </w:pPr>
      <w:r>
        <w:rPr>
          <w:rFonts w:ascii="Times New Roman" w:hAnsi="Times New Roman" w:eastAsia="Times New Roman"/>
          <w:b/>
          <w:color w:val="000000"/>
          <w:sz w:val="28"/>
        </w:rPr>
        <w:t>1.3.3 Phạm vi đề tài và lộ trình triển khai</w:t>
      </w:r>
    </w:p>
    <w:p>
      <w:pPr>
        <w:spacing w:line="288" w:lineRule="auto"/>
        <w:ind w:firstLine="567"/>
        <w:jc w:val="both"/>
      </w:pPr>
      <w:r>
        <w:rPr>
          <w:rFonts w:ascii="Times New Roman" w:hAnsi="Times New Roman" w:eastAsia="Times New Roman"/>
          <w:b w:val="0"/>
          <w:i w:val="0"/>
          <w:sz w:val="26"/>
        </w:rPr>
        <w:t>Phạm vi triển khai hiện tại của đề tài bao gồm vận hành thử với hai giáo viên độc lập (một dùng gói miễn phí, một dùng gói trả phí), tập trung kiểm chứng trình hướng dẫn khởi tạo tenant, mô-đun AI Branding, kiến trúc đa tenant và ngưỡng tuân thủ pháp lý cơ bản. Hệ thống thanh toán chuyển khoản qua VietQR kèm đối soát tự động đã được tích hợp; kênh thông báo Zalo OA đã kết nối phục vụ liên lạc với phụ huynh; hóa đơn điện tử (eInvoice) qua hợp tác với nhà cung cấp được Tổng cục Thuế cấp phép cũng đã có sẵn cho luồng phát hành.</w:t>
      </w:r>
    </w:p>
    <w:p>
      <w:pPr>
        <w:spacing w:line="288" w:lineRule="auto"/>
        <w:ind w:firstLine="567"/>
        <w:jc w:val="both"/>
      </w:pPr>
      <w:r>
        <w:rPr>
          <w:rFonts w:ascii="Times New Roman" w:hAnsi="Times New Roman" w:eastAsia="Times New Roman"/>
          <w:b w:val="0"/>
          <w:i w:val="0"/>
          <w:sz w:val="26"/>
        </w:rPr>
        <w:t>Lộ trình phát triển sau bao gồm các định hướng mở rộng cụ thể. Trước tiên, mở rộng nhóm tenant tham gia lên 30-50 trung tâm với chính sách thu phí giới thiệu thấp hơn giá niêm yết, mục đích chính là kiểm chứng mô hình giá ở quy mô lớn hơn. Tiếp theo, mở cho mọi trung tâm tự đăng ký không qua quy trình mời, đi kèm thỏa thuận mức dịch vụ (SLA — Service Level Agreement) cam kết thời gian hoạt động ≥99,5% và bổ sung kênh trò chuyện trực tuyến, ứng dụng di động gốc cho học viên và phụ huynh, đa cổng thanh toán tích hợp (VNPay, MoMo). Định hướng xa hơn là mở rộng sang khối phổ thông K-12 phục vụ trường công lập và tư thục cấp 1-2 với yêu cầu bổ nhiệm cán bộ bảo vệ dữ liệu (DPO — Data Protection Officer) chính thức, đánh giá tác động bảo vệ dữ liệu (DPIA — Data Protection Impact Assessment) cho dữ liệu trẻ em theo Luật Bảo vệ Dữ liệu Cá nhân Điều 17 và Điều 26, hợp tác với Bộ Giáo dục và Đào tạo cùng các sở phòng giáo dục địa phương cho phân phối.</w:t>
      </w:r>
    </w:p>
    <w:p>
      <w:pPr>
        <w:spacing w:line="288" w:lineRule="auto"/>
        <w:ind w:firstLine="567"/>
        <w:jc w:val="both"/>
      </w:pPr>
      <w:r>
        <w:rPr>
          <w:rFonts w:ascii="Times New Roman" w:hAnsi="Times New Roman" w:eastAsia="Times New Roman"/>
          <w:b w:val="0"/>
          <w:i w:val="0"/>
          <w:sz w:val="26"/>
        </w:rPr>
        <w:t>Việc tách phạm vi triển khai hiện tại khỏi lộ trình phát triển sau phù hợp với phương pháp luận sản phẩm tối giản khả thi (MVP — Minimum Viable Product) trong khởi nghiệp phần mềm — phát hành sản phẩm tối giản đáp ứng nhu cầu cốt lõi của nhóm người dùng đại diện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sở hữu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sở hữu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phạm vi hiện tại thủ công; tích hợp MoMo/VNPay theo lộ trình phát triển sau</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sở hữu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đã tích hợp Zalo OA</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hiện tại)</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Mục tiêu hiệu năng cho phạm vi hiện tại được đặt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lộ trình phát triển sau,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hiện tại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hiện tại</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lộ trình phát triển sau,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lộ trình phát triển sau.</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hiện tại:</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hiện tại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lộ trình phát triển sau: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Hiện tại: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Lộ trình phát triển sau: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lộ trình phát triển sau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Hiện tại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hiện tại: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khóa luận lựa chọn mô hình single-bucket multi-tenant với RLS (Pattern 4) thay vì per-tenant DB (Pattern 1) — chênh lệch chi phí khoảng 20× và chi phí vận hành tăng tuyến tính theo số tenant, không phù hợp với phân khúc trung tâm SMB hiện tại (chi tiết §2.2.3).</w:t>
      </w:r>
    </w:p>
    <w:p>
      <w:pPr>
        <w:spacing w:line="288" w:lineRule="auto"/>
        <w:ind w:firstLine="567"/>
        <w:jc w:val="both"/>
      </w:pPr>
      <w:r>
        <w:rPr>
          <w:rFonts w:ascii="Times New Roman" w:hAnsi="Times New Roman" w:eastAsia="Times New Roman"/>
          <w:b/>
          <w:i w:val="0"/>
          <w:sz w:val="26"/>
        </w:rPr>
        <w:t>Đặc trưng thị trường Việt Nam và hệ quả NFR.</w:t>
      </w:r>
      <w:r>
        <w:rPr>
          <w:rFonts w:ascii="Times New Roman" w:hAnsi="Times New Roman" w:eastAsia="Times New Roman"/>
          <w:b w:val="0"/>
          <w:i w:val="0"/>
          <w:sz w:val="26"/>
        </w:rPr>
        <w:t xml:space="preserve"> Bối cảnh người dùng được trình bày tại Chương 1 §1.1 trực tiếp ảnh hưởng tới NFR thuộc nhóm Compatibility (i18n locale, định dạng tiền tệ, ngày tháng), Usability (xưng hô email phù hợp vai trò, kênh giao tiếp Zalo cho phụ huynh) và Reliability (khung lịch tải đỉnh buổi tối, cron tính phí bỏ qua khung Tết). Bảng 2.3 ánh xạ các đặc trưng này sang yêu cầu thiết kế cụ thể.</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Việt Nam và hệ quả NFR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NFR</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Compatibility: 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Compatibility: 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Usability: 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Functional Suitability: hiện tại VietQR; mở rộng VNPay/MoMo lộ trình phát triển sau</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Usability: 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Performance: lịch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Usability: Zalo OA đã được tích hợp cho phụ huynh</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Reliability: cron tính phí + lịch lớp bỏ qua khung Tết</w:t>
            </w:r>
          </w:p>
        </w:tc>
      </w:tr>
    </w:tbl>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275032"/>
            <wp:docPr id="6" name="Picture 6"/>
            <wp:cNvGraphicFramePr>
              <a:graphicFrameLocks noChangeAspect="1"/>
            </wp:cNvGraphicFramePr>
            <a:graphic>
              <a:graphicData uri="http://schemas.openxmlformats.org/drawingml/2006/picture">
                <pic:pic>
                  <pic:nvPicPr>
                    <pic:cNvPr id="0" name="mermaid-f4d25d807aa325d6.png"/>
                    <pic:cNvPicPr/>
                  </pic:nvPicPr>
                  <pic:blipFill>
                    <a:blip r:embed="rId14"/>
                    <a:stretch>
                      <a:fillRect/>
                    </a:stretch>
                  </pic:blipFill>
                  <pic:spPr>
                    <a:xfrm>
                      <a:off x="0" y="0"/>
                      <a:ext cx="5760000" cy="4275032"/>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760000" cy="6201005"/>
            <wp:docPr id="7" name="Picture 7"/>
            <wp:cNvGraphicFramePr>
              <a:graphicFrameLocks noChangeAspect="1"/>
            </wp:cNvGraphicFramePr>
            <a:graphic>
              <a:graphicData uri="http://schemas.openxmlformats.org/drawingml/2006/picture">
                <pic:pic>
                  <pic:nvPicPr>
                    <pic:cNvPr id="0" name="mermaid-8421f8361e01c736.png"/>
                    <pic:cNvPicPr/>
                  </pic:nvPicPr>
                  <pic:blipFill>
                    <a:blip r:embed="rId15"/>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Đồ án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hiện tại</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lộ trình phát triển sau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hiện tại SMB của đồ án). Tổng điểm tối đa 30 (6 trục × 5 điểm). Rubric này </w:t>
      </w:r>
      <w:r>
        <w:rPr>
          <w:rFonts w:ascii="Times New Roman" w:hAnsi="Times New Roman" w:eastAsia="Times New Roman"/>
          <w:b/>
          <w:i w:val="0"/>
          <w:sz w:val="26"/>
        </w:rPr>
        <w:t>được xây dựng riêng</w:t>
      </w:r>
      <w:r>
        <w:rPr>
          <w:rFonts w:ascii="Times New Roman" w:hAnsi="Times New Roman" w:eastAsia="Times New Roman"/>
          <w:b w:val="0"/>
          <w:i w:val="0"/>
          <w:sz w:val="26"/>
        </w:rPr>
        <w:t xml:space="preserve"> cho ngữ cảnh trung tâm dạy thêm SMB hiện tại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hiện tại:</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Ma trận so sánh 6 pattern trên 6 trục (Pattern 4 đạt tổng 26/30 cho phạm vi hiện tại)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hiện tại</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hiện tại = 5:</w:t>
      </w:r>
      <w:r>
        <w:rPr>
          <w:rFonts w:ascii="Times New Roman" w:hAnsi="Times New Roman" w:eastAsia="Times New Roman"/>
          <w:b w:val="0"/>
          <w:i w:val="0"/>
          <w:sz w:val="26"/>
        </w:rPr>
        <w:t xml:space="preserve"> Tổng chi phí hạ tầng ≤$15/tháng (RDS Free Tier 12 tháng đầu, ECS Fargate Spot, S3 dưới 5GB), phù hợp quy mô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lộ trình phát triển sau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hiện tại, và lộ trình chuyển đổi sang Hybrid Path A khi mở rộng đến nhóm khách hàng doanh nghiệp ở lộ trình phát triển sau.</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4692413" cy="6480000"/>
            <wp:docPr id="8" name="Picture 8"/>
            <wp:cNvGraphicFramePr>
              <a:graphicFrameLocks noChangeAspect="1"/>
            </wp:cNvGraphicFramePr>
            <a:graphic>
              <a:graphicData uri="http://schemas.openxmlformats.org/drawingml/2006/picture">
                <pic:pic>
                  <pic:nvPicPr>
                    <pic:cNvPr id="0" name="mermaid-a3293e2f9619f813.png"/>
                    <pic:cNvPicPr/>
                  </pic:nvPicPr>
                  <pic:blipFill>
                    <a:blip r:embed="rId16"/>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Vấn đề được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2.4a-d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2607157"/>
            <wp:docPr id="9" name="Picture 9"/>
            <wp:cNvGraphicFramePr>
              <a:graphicFrameLocks noChangeAspect="1"/>
            </wp:cNvGraphicFramePr>
            <a:graphic>
              <a:graphicData uri="http://schemas.openxmlformats.org/drawingml/2006/picture">
                <pic:pic>
                  <pic:nvPicPr>
                    <pic:cNvPr id="0" name="mermaid-937a5ae77a6cbd8c.png"/>
                    <pic:cNvPicPr/>
                  </pic:nvPicPr>
                  <pic:blipFill>
                    <a:blip r:embed="rId17"/>
                    <a:stretch>
                      <a:fillRect/>
                    </a:stretch>
                  </pic:blipFill>
                  <pic:spPr>
                    <a:xfrm>
                      <a:off x="0" y="0"/>
                      <a:ext cx="5760000" cy="2607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2880000"/>
            <wp:docPr id="10" name="Picture 10"/>
            <wp:cNvGraphicFramePr>
              <a:graphicFrameLocks noChangeAspect="1"/>
            </wp:cNvGraphicFramePr>
            <a:graphic>
              <a:graphicData uri="http://schemas.openxmlformats.org/drawingml/2006/picture">
                <pic:pic>
                  <pic:nvPicPr>
                    <pic:cNvPr id="0" name="mermaid-3352d2cdf91ac76b.png"/>
                    <pic:cNvPicPr/>
                  </pic:nvPicPr>
                  <pic:blipFill>
                    <a:blip r:embed="rId18"/>
                    <a:stretch>
                      <a:fillRect/>
                    </a:stretch>
                  </pic:blipFill>
                  <pic:spPr>
                    <a:xfrm>
                      <a:off x="0" y="0"/>
                      <a:ext cx="5760000" cy="28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before="120" w:after="120"/>
        <w:jc w:val="center"/>
      </w:pPr>
      <w:r>
        <w:drawing>
          <wp:inline xmlns:a="http://schemas.openxmlformats.org/drawingml/2006/main" xmlns:pic="http://schemas.openxmlformats.org/drawingml/2006/picture">
            <wp:extent cx="3352541" cy="6480000"/>
            <wp:docPr id="11" name="Picture 11"/>
            <wp:cNvGraphicFramePr>
              <a:graphicFrameLocks noChangeAspect="1"/>
            </wp:cNvGraphicFramePr>
            <a:graphic>
              <a:graphicData uri="http://schemas.openxmlformats.org/drawingml/2006/picture">
                <pic:pic>
                  <pic:nvPicPr>
                    <pic:cNvPr id="0" name="mermaid-6c1e64d5b93b5ba2.png"/>
                    <pic:cNvPicPr/>
                  </pic:nvPicPr>
                  <pic:blipFill>
                    <a:blip r:embed="rId19"/>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p>
      <w:pPr>
        <w:spacing w:line="288" w:lineRule="auto"/>
        <w:ind w:firstLine="567"/>
        <w:jc w:val="both"/>
      </w:pPr>
      <w:r>
        <w:rPr>
          <w:rFonts w:ascii="Times New Roman" w:hAnsi="Times New Roman" w:eastAsia="Times New Roman"/>
          <w:b w:val="0"/>
          <w:i w:val="0"/>
          <w:sz w:val="26"/>
        </w:rPr>
        <w:t>Bảng 2.6 so sánh hai phương thức truy cập theo các tiêu chí cấp phát, DNS, chứng chỉ SSL và xác minh quyền sở hữu.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So sánh subdomain và tên miền riêng trong cơ chế định tuyến đa tenant</w:t>
      </w:r>
    </w:p>
    <w:p>
      <w:pPr>
        <w:spacing w:before="120" w:after="120"/>
        <w:jc w:val="center"/>
      </w:pPr>
      <w:r>
        <w:drawing>
          <wp:inline xmlns:a="http://schemas.openxmlformats.org/drawingml/2006/main" xmlns:pic="http://schemas.openxmlformats.org/drawingml/2006/picture">
            <wp:extent cx="5760000" cy="2264898"/>
            <wp:docPr id="12" name="Picture 12"/>
            <wp:cNvGraphicFramePr>
              <a:graphicFrameLocks noChangeAspect="1"/>
            </wp:cNvGraphicFramePr>
            <a:graphic>
              <a:graphicData uri="http://schemas.openxmlformats.org/drawingml/2006/picture">
                <pic:pic>
                  <pic:nvPicPr>
                    <pic:cNvPr id="0" name="mermaid-7dabbf6c19ae66fe.png"/>
                    <pic:cNvPicPr/>
                  </pic:nvPicPr>
                  <pic:blipFill>
                    <a:blip r:embed="rId20"/>
                    <a:stretch>
                      <a:fillRect/>
                    </a:stretch>
                  </pic:blipFill>
                  <pic:spPr>
                    <a:xfrm>
                      <a:off x="0" y="0"/>
                      <a:ext cx="5760000" cy="226489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spacing w:before="120" w:after="120"/>
        <w:jc w:val="center"/>
      </w:pPr>
      <w:r>
        <w:drawing>
          <wp:inline xmlns:a="http://schemas.openxmlformats.org/drawingml/2006/main" xmlns:pic="http://schemas.openxmlformats.org/drawingml/2006/picture">
            <wp:extent cx="3492050" cy="6480000"/>
            <wp:docPr id="13" name="Picture 13"/>
            <wp:cNvGraphicFramePr>
              <a:graphicFrameLocks noChangeAspect="1"/>
            </wp:cNvGraphicFramePr>
            <a:graphic>
              <a:graphicData uri="http://schemas.openxmlformats.org/drawingml/2006/picture">
                <pic:pic>
                  <pic:nvPicPr>
                    <pic:cNvPr id="0" name="mermaid-cfe5ec891d00c4b9.png"/>
                    <pic:cNvPicPr/>
                  </pic:nvPicPr>
                  <pic:blipFill>
                    <a:blip r:embed="rId21"/>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4" name="Picture 14"/>
            <wp:cNvGraphicFramePr>
              <a:graphicFrameLocks noChangeAspect="1"/>
            </wp:cNvGraphicFramePr>
            <a:graphic>
              <a:graphicData uri="http://schemas.openxmlformats.org/drawingml/2006/picture">
                <pic:pic>
                  <pic:nvPicPr>
                    <pic:cNvPr id="0" name="mermaid-f005980df8c8a241.png"/>
                    <pic:cNvPicPr/>
                  </pic:nvPicPr>
                  <pic:blipFill>
                    <a:blip r:embed="rId22"/>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sở hữu trung tâm đăng nhập lần đầu trải qua nhiều bước phối hợp giữa frontend, backend và các dịch vụ ngoài. Hình 2.7a-b trình bày tuần tự các bước theo ký pháp UML.</w:t>
      </w:r>
    </w:p>
    <w:p>
      <w:pPr>
        <w:spacing w:before="120" w:after="120"/>
        <w:jc w:val="center"/>
      </w:pPr>
      <w:r>
        <w:drawing>
          <wp:inline xmlns:a="http://schemas.openxmlformats.org/drawingml/2006/main" xmlns:pic="http://schemas.openxmlformats.org/drawingml/2006/picture">
            <wp:extent cx="5760000" cy="1783058"/>
            <wp:docPr id="15" name="Picture 15"/>
            <wp:cNvGraphicFramePr>
              <a:graphicFrameLocks noChangeAspect="1"/>
            </wp:cNvGraphicFramePr>
            <a:graphic>
              <a:graphicData uri="http://schemas.openxmlformats.org/drawingml/2006/picture">
                <pic:pic>
                  <pic:nvPicPr>
                    <pic:cNvPr id="0" name="mermaid-c1c711fb26610c4d.png"/>
                    <pic:cNvPicPr/>
                  </pic:nvPicPr>
                  <pic:blipFill>
                    <a:blip r:embed="rId23"/>
                    <a:stretch>
                      <a:fillRect/>
                    </a:stretch>
                  </pic:blipFill>
                  <pic:spPr>
                    <a:xfrm>
                      <a:off x="0" y="0"/>
                      <a:ext cx="5760000" cy="17830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2673317"/>
            <wp:docPr id="16" name="Picture 16"/>
            <wp:cNvGraphicFramePr>
              <a:graphicFrameLocks noChangeAspect="1"/>
            </wp:cNvGraphicFramePr>
            <a:graphic>
              <a:graphicData uri="http://schemas.openxmlformats.org/drawingml/2006/picture">
                <pic:pic>
                  <pic:nvPicPr>
                    <pic:cNvPr id="0" name="mermaid-b7796a844892db44.png"/>
                    <pic:cNvPicPr/>
                  </pic:nvPicPr>
                  <pic:blipFill>
                    <a:blip r:embed="rId24"/>
                    <a:stretch>
                      <a:fillRect/>
                    </a:stretch>
                  </pic:blipFill>
                  <pic:spPr>
                    <a:xfrm>
                      <a:off x="0" y="0"/>
                      <a:ext cx="5760000" cy="267331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sở hữu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188811" cy="6480000"/>
            <wp:docPr id="17" name="Picture 17"/>
            <wp:cNvGraphicFramePr>
              <a:graphicFrameLocks noChangeAspect="1"/>
            </wp:cNvGraphicFramePr>
            <a:graphic>
              <a:graphicData uri="http://schemas.openxmlformats.org/drawingml/2006/picture">
                <pic:pic>
                  <pic:nvPicPr>
                    <pic:cNvPr id="0" name="mermaid-3e2649c3cbb965e5.png"/>
                    <pic:cNvPicPr/>
                  </pic:nvPicPr>
                  <pic:blipFill>
                    <a:blip r:embed="rId25"/>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control-plane) lưu metadata cấp tenant: mỗi dòng tương ứng với một trung tâm dạy thêm có dùng nền tảng. Bảng này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domain-plane)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domain-plane) lưu hồ sơ học sinh đã đăng ký tại tenant. Bảng này có volume lớn nhất trong các bảng domain (mục tiêu 50-500 học sinh/tenant hiện tại).</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Hiện tại cho trung tâm dạy thêm SMB, các trường nhạy cảm cao (CMND/CCCD, mã định danh học sinh quốc gia) không được lưu trữ; khi mở rộng sang K-12 ở lộ trình phát triển sau,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sở hữu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hiện tại kiểm thử FREE + STARTER; PRO và PRO_PLUS kích hoạt lộ trình phát triển sau.</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Hiện tại dùng VietQR thủ công: chủ sở hữu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quá trình kiểm chứng sản phẩm.</w:t>
      </w:r>
    </w:p>
    <w:p>
      <w:pPr>
        <w:spacing w:line="288" w:lineRule="auto"/>
        <w:ind w:firstLine="567"/>
        <w:jc w:val="both"/>
      </w:pPr>
      <w:r>
        <w:rPr>
          <w:rFonts w:ascii="Times New Roman" w:hAnsi="Times New Roman" w:eastAsia="Times New Roman"/>
          <w:b w:val="0"/>
          <w:i w:val="0"/>
          <w:sz w:val="26"/>
        </w:rPr>
        <w:t>Roadmap lộ trình phát triển sau: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PHÂN TÍCH, THIẾT KẾ VÀ TRIỂN KHAI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nội dung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hiện tại theo ba luồng nghiệp vụ liên kết: hành trình khám phá và kích hoạt tenant của Chủ sở hữu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(khách ẩn danh → chủ sở hữu trung tâm)</w:t>
      </w:r>
    </w:p>
    <w:p>
      <w:pPr>
        <w:spacing w:before="120" w:after="60"/>
        <w:jc w:val="center"/>
      </w:pPr>
      <w:r>
        <w:rPr>
          <w:rFonts w:ascii="Times New Roman" w:hAnsi="Times New Roman" w:eastAsia="Times New Roman"/>
          <w:b w:val="0"/>
          <w:i/>
          <w:color w:val="808080"/>
          <w:sz w:val="26"/>
        </w:rPr>
        <w:t>[Hình minh hoạ: 12-public-homepage-sky-branded.png — chưa có file]</w:t>
      </w:r>
    </w:p>
    <w:p>
      <w:pPr>
        <w:spacing w:before="120" w:after="60"/>
        <w:jc w:val="center"/>
      </w:pPr>
      <w:r>
        <w:rPr>
          <w:rFonts w:ascii="Times New Roman" w:hAnsi="Times New Roman" w:eastAsia="Times New Roman"/>
          <w:b w:val="0"/>
          <w:i/>
          <w:color w:val="808080"/>
          <w:sz w:val="26"/>
        </w:rPr>
        <w:t>[Hình minh hoạ: 01-login-page.png — chưa có file]</w:t>
      </w:r>
    </w:p>
    <w:p>
      <w:pPr>
        <w:spacing w:before="120" w:after="60"/>
        <w:jc w:val="center"/>
      </w:pPr>
      <w:r>
        <w:rPr>
          <w:rFonts w:ascii="Times New Roman" w:hAnsi="Times New Roman" w:eastAsia="Times New Roman"/>
          <w:b w:val="0"/>
          <w:i/>
          <w:color w:val="808080"/>
          <w:sz w:val="26"/>
        </w:rPr>
        <w:t>[Hình minh hoạ: 02-dashboard-overview-kpi-orange.png — chưa có file]</w:t>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trung tâm Sky Education (tên giả định) với bộ nhận diện thương hiệu riêng (tông màu cam chủ đạo, tên trung tâm và khẩu hiệu "Chuyên nghiệp &amp; Hiệu quả"). Trang được dựng theo cấu trúc nhiều khối: giới thiệu, tính năng nổi bật (Hệ thống LMS, Quản lý Học viên, Thanh toán &amp; Báo cáo), đội ngũ giáo viên, các chứng chỉ đào tạo (IELTS, TOEIC, Cambridge, VSTEP), bảng giá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2.800.000đ/tháng</w:t>
      </w:r>
      <w:r>
        <w:rPr>
          <w:rFonts w:ascii="Times New Roman" w:hAnsi="Times New Roman" w:eastAsia="Times New Roman"/>
          <w:b w:val="0"/>
          <w:i w:val="0"/>
          <w:sz w:val="26"/>
        </w:rPr>
        <w:t xml:space="preserve">, </w:t>
      </w:r>
      <w:r>
        <w:rPr>
          <w:rFonts w:ascii="Times New Roman" w:hAnsi="Times New Roman" w:eastAsia="Times New Roman"/>
          <w:b w:val="0"/>
          <w:i/>
          <w:sz w:val="26"/>
        </w:rPr>
        <w:t>4.500.000đ/tháng</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Chủ sở hữu trung tâm nhập thông tin tài khoản đã được cấp sau khi yêu cầu truy cập được quản trị viên nền tảng duyệt. Bước thứ ba là dashboard tổng quan sau đăng nhập, hiển thị dòng tóm tắt "Trung tâm hiện có 78 học viên · 5 khóa học" cùng sáu thẻ chỉ số (Học viên, Khóa học, Giáo viên, Điểm danh hôm nay, Doanh thu tuần, Tỷ lệ giữ chân). Hiện tại, hai thẻ Học viên và Khóa học đã hiển thị số liệu thực (78 và 5),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3.2.2 Tùy biến thương hiệu bằng AI (AI Branding)</w:t>
      </w:r>
    </w:p>
    <w:p>
      <w:pPr>
        <w:spacing w:before="120" w:after="60"/>
        <w:jc w:val="center"/>
      </w:pPr>
      <w:r>
        <w:rPr>
          <w:rFonts w:ascii="Times New Roman" w:hAnsi="Times New Roman" w:eastAsia="Times New Roman"/>
          <w:b w:val="0"/>
          <w:i/>
          <w:color w:val="808080"/>
          <w:sz w:val="26"/>
        </w:rPr>
        <w:t>[Hình minh hoạ: 03-branding-settings.png — chưa có file]</w:t>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sở hữu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trước khi nhấn triển khai; thứ hai là cách tiếp cận ưu tiên mẫu có sẵn (template-first) — hệ thống mặc định dùng các mẫu đã qua kiểm định chất lượng, chỉ gọi mô hình sinh nội dung bằng trí tuệ nhân tạo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3.2.3 Quản lý học viên và tổ chức vận hành</w:t>
      </w:r>
    </w:p>
    <w:p>
      <w:pPr>
        <w:spacing w:before="120" w:after="60"/>
        <w:jc w:val="center"/>
      </w:pPr>
      <w:r>
        <w:rPr>
          <w:rFonts w:ascii="Times New Roman" w:hAnsi="Times New Roman" w:eastAsia="Times New Roman"/>
          <w:b w:val="0"/>
          <w:i/>
          <w:color w:val="808080"/>
          <w:sz w:val="26"/>
        </w:rPr>
        <w:t>[Hình minh hoạ: 05-students.png — chưa có file]</w:t>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sở hữu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Hiện tại, trung tâm mẫu đã có 78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trung tâm dạy thêm tại Việt Nam.</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hiện tại: trang chủ công khai mang thương hiệu riêng, tùy biến thương hiệu bằng AI, bảng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API tổng hợp số liệu) cùng các thống kê doanh thu. Các giao diện thuộc phạm vi lộ trình phát triển sau gồm: cổng thông tin dành cho phụ huynh (nhóm người dùng đại diện P4), ứng dụng di động gốc, và quản lý học bạ K-12 (nhóm người dùng đại diện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Tháp kiểm thử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3620404" cy="6480000"/>
            <wp:docPr id="18" name="Picture 18"/>
            <wp:cNvGraphicFramePr>
              <a:graphicFrameLocks noChangeAspect="1"/>
            </wp:cNvGraphicFramePr>
            <a:graphic>
              <a:graphicData uri="http://schemas.openxmlformats.org/drawingml/2006/picture">
                <pic:pic>
                  <pic:nvPicPr>
                    <pic:cNvPr id="0" name="mermaid-f91993f073a5141c.png"/>
                    <pic:cNvPicPr/>
                  </pic:nvPicPr>
                  <pic:blipFill>
                    <a:blip r:embed="rId26"/>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(lộ trình phát triển sau),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lộ trình phát triển sau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lộ trình phát triển sau hoặc lộ trình phát triển sau tùy mức ưu tiên.</w:t>
      </w:r>
    </w:p>
    <w:p>
      <w:r>
        <w:br w:type="page"/>
      </w:r>
    </w:p>
    <w:p>
      <w:pPr>
        <w:pStyle w:val="Heading1"/>
        <w:jc w:val="center"/>
      </w:pPr>
      <w:r>
        <w:rPr>
          <w:rFonts w:ascii="Times New Roman" w:hAnsi="Times New Roman" w:eastAsia="Times New Roman"/>
          <w:b/>
          <w:color w:val="000000"/>
          <w:sz w:val="36"/>
        </w:rPr>
        <w:t>CHƯƠNG 4. ĐÁNH GIÁ KẾT QUẢ VÀ KẾT LUẬN</w:t>
      </w:r>
    </w:p>
    <w:p>
      <w:pPr>
        <w:pStyle w:val="Heading2"/>
      </w:pPr>
      <w:r>
        <w:rPr>
          <w:rFonts w:ascii="Times New Roman" w:hAnsi="Times New Roman" w:eastAsia="Times New Roman"/>
          <w:b/>
          <w:color w:val="000000"/>
          <w:sz w:val="32"/>
        </w:rPr>
        <w:t>4.1 Triển khai cloud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Hiện tại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lộ trình phát triển sau. Người dùng thử nghiệm ký explicit consent acknowledging "infrastructure provider AWS Singapore" hiện tại.</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3265856" cy="6480000"/>
            <wp:docPr id="19" name="Picture 19"/>
            <wp:cNvGraphicFramePr>
              <a:graphicFrameLocks noChangeAspect="1"/>
            </wp:cNvGraphicFramePr>
            <a:graphic>
              <a:graphicData uri="http://schemas.openxmlformats.org/drawingml/2006/picture">
                <pic:pic>
                  <pic:nvPicPr>
                    <pic:cNvPr id="0" name="plantuml-294497237df6674e.png"/>
                    <pic:cNvPicPr/>
                  </pic:nvPicPr>
                  <pic:blipFill>
                    <a:blip r:embed="rId27"/>
                    <a:stretch>
                      <a:fillRect/>
                    </a:stretch>
                  </pic:blipFill>
                  <pic:spPr>
                    <a:xfrm>
                      <a:off x="0" y="0"/>
                      <a:ext cx="3265856"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spacing w:before="120" w:after="120"/>
        <w:jc w:val="center"/>
      </w:pPr>
      <w:r>
        <w:drawing>
          <wp:inline xmlns:a="http://schemas.openxmlformats.org/drawingml/2006/main" xmlns:pic="http://schemas.openxmlformats.org/drawingml/2006/picture">
            <wp:extent cx="5760000" cy="5782721"/>
            <wp:docPr id="20" name="Picture 20"/>
            <wp:cNvGraphicFramePr>
              <a:graphicFrameLocks noChangeAspect="1"/>
            </wp:cNvGraphicFramePr>
            <a:graphic>
              <a:graphicData uri="http://schemas.openxmlformats.org/drawingml/2006/picture">
                <pic:pic>
                  <pic:nvPicPr>
                    <pic:cNvPr id="0" name="plantuml-e506096e358f22e1.png"/>
                    <pic:cNvPicPr/>
                  </pic:nvPicPr>
                  <pic:blipFill>
                    <a:blip r:embed="rId28"/>
                    <a:stretch>
                      <a:fillRect/>
                    </a:stretch>
                  </pic:blipFill>
                  <pic:spPr>
                    <a:xfrm>
                      <a:off x="0" y="0"/>
                      <a:ext cx="5760000" cy="578272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hiện tại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Pipeline CI/CD</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219294"/>
            <wp:docPr id="21" name="Picture 21"/>
            <wp:cNvGraphicFramePr>
              <a:graphicFrameLocks noChangeAspect="1"/>
            </wp:cNvGraphicFramePr>
            <a:graphic>
              <a:graphicData uri="http://schemas.openxmlformats.org/drawingml/2006/picture">
                <pic:pic>
                  <pic:nvPicPr>
                    <pic:cNvPr id="0" name="mermaid-32cf937050deb6cc.png"/>
                    <pic:cNvPicPr/>
                  </pic:nvPicPr>
                  <pic:blipFill>
                    <a:blip r:embed="rId29"/>
                    <a:stretch>
                      <a:fillRect/>
                    </a:stretch>
                  </pic:blipFill>
                  <pic:spPr>
                    <a:xfrm>
                      <a:off x="0" y="0"/>
                      <a:ext cx="5760000" cy="221929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217663"/>
            <wp:docPr id="22" name="Picture 22"/>
            <wp:cNvGraphicFramePr>
              <a:graphicFrameLocks noChangeAspect="1"/>
            </wp:cNvGraphicFramePr>
            <a:graphic>
              <a:graphicData uri="http://schemas.openxmlformats.org/drawingml/2006/picture">
                <pic:pic>
                  <pic:nvPicPr>
                    <pic:cNvPr id="0" name="mermaid-4d19df8175f80777.png"/>
                    <pic:cNvPicPr/>
                  </pic:nvPicPr>
                  <pic:blipFill>
                    <a:blip r:embed="rId30"/>
                    <a:stretch>
                      <a:fillRect/>
                    </a:stretch>
                  </pic:blipFill>
                  <pic:spPr>
                    <a:xfrm>
                      <a:off x="0" y="0"/>
                      <a:ext cx="5760000" cy="221766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vai trò OIDC tạm thời (mỗi lần chạy workflow assume role mới với token một giờ, không nhúng cứng AWS access key trong GitHub Secrets); phạm vi IAM thu hẹp (vai trò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quyền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các EC2 mang nhãn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phạm vi rộng hơn); cổng xác nhận đầu vào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nguyên văn để kích hoạt, phòng ngừa triển khai nhầm); và smoke test admin-login sau triển khai (kiểm thử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thông tin quản trị viên đã được khởi tạo sẵn, kỳ vọng mã 200 và JWT — bắt được lỗi class binding đặc thù PostgreSQL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p>
      <w:pPr>
        <w:spacing w:line="288" w:lineRule="auto"/>
        <w:ind w:firstLine="567"/>
        <w:jc w:val="both"/>
      </w:pPr>
      <w:r>
        <w:rPr>
          <w:rFonts w:ascii="Times New Roman" w:hAnsi="Times New Roman" w:eastAsia="Times New Roman"/>
          <w:b w:val="0"/>
          <w:i w:val="0"/>
          <w:sz w:val="26"/>
        </w:rPr>
        <w:t xml:space="preserve">Bảng 4.1 liệt kê các bản ghi DNS chính được cấu hình cho tên miền </w:t>
      </w:r>
      <w:r>
        <w:rPr>
          <w:rFonts w:ascii="Times New Roman" w:hAnsi="Times New Roman" w:eastAsia="Times New Roman"/>
          <w:b w:val="0"/>
          <w:i/>
          <w:sz w:val="26"/>
        </w:rPr>
        <w:t>kitehub.me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tài nguyên Terraform đã apply (CloudTrail ghi nhận đầy đủ); hai EC2 instance và RDS PostgreSQL đa tenant với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trang chủ đa tenant; cơ chế phân giải Tenant → Domain → Landing (mục 2.2.6) hoạt động trên lớp gateway, được minh chứng qua trang chủ công khai của tenant mẫu Sky Education với giao diện thương hiệu riêng (mục 4.2); AWS SES đã được phê duyệt production mode; CI/CD pipeline OIDC + ECR + SSM hoạt động đầy đủ; cơ chế mời tenant thử nghiệm đã sẵn sàng nhận yêu cầu.</w:t>
      </w:r>
    </w:p>
    <w:p>
      <w:pPr>
        <w:pStyle w:val="Heading2"/>
      </w:pPr>
      <w:r>
        <w:rPr>
          <w:rFonts w:ascii="Times New Roman" w:hAnsi="Times New Roman" w:eastAsia="Times New Roman"/>
          <w:b/>
          <w:color w:val="000000"/>
          <w:sz w:val="32"/>
        </w:rPr>
        <w:t>4.2 Kết quả tương tác end-user và minh chứng</w:t>
      </w:r>
    </w:p>
    <w:p>
      <w:pPr>
        <w:spacing w:line="288" w:lineRule="auto"/>
        <w:ind w:firstLine="567"/>
        <w:jc w:val="both"/>
      </w:pPr>
      <w:r>
        <w:rPr>
          <w:rFonts w:ascii="Times New Roman" w:hAnsi="Times New Roman" w:eastAsia="Times New Roman"/>
          <w:b w:val="0"/>
          <w:i w:val="0"/>
          <w:sz w:val="26"/>
        </w:rPr>
        <w:t>[Phần này sẽ điền sau khi thu thập phản hồi từ các tenant thử nghiệm trong hiện tại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chính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phản hồi xác nhận từ chủ sở hữu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(số người dùng hoạt động, số lần sinh AI Branding, số giao dịch thanh toán đã xử lý) trong cửa sổ 2-4 tuần đầu sau khi mời thử nghiệm.</w:t>
      </w:r>
    </w:p>
    <w:p>
      <w:pPr>
        <w:pStyle w:val="ListBullet"/>
        <w:spacing w:line="288" w:lineRule="auto"/>
        <w:ind w:left="850" w:hanging="283"/>
      </w:pPr>
      <w:r>
        <w:rPr>
          <w:rFonts w:ascii="Times New Roman" w:hAnsi="Times New Roman" w:eastAsia="Times New Roman"/>
          <w:b w:val="0"/>
          <w:i w:val="0"/>
          <w:sz w:val="26"/>
        </w:rPr>
        <w:t>Ảnh chụp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ba nhóm người dùng (giáo viên độc lập, chủ sở hữu trung tâm, quản lý trung tâm); nhóm phụ huynh và học viên thuộc phân khúc K-12 được hoãn sang giai đoạn mở rộng K-12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đầy đủ do giai đoạn thử nghiệm mới có hai giáo viên độc lập (một gói miễn phí, một gói premium) trực tiếp sử dụng để thu thập phản hồi.</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34"/>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header" Target="header1.xml"/><Relationship Id="rId32" Type="http://schemas.openxmlformats.org/officeDocument/2006/relationships/header" Target="header2.xml"/><Relationship Id="rId33" Type="http://schemas.openxmlformats.org/officeDocument/2006/relationships/header" Target="header3.xml"/><Relationship Id="rId3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