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71EF8" w:rsidRDefault="005E37F9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Evento S-2220: O que é?</w:t>
      </w:r>
    </w:p>
    <w:p w14:paraId="00000002" w14:textId="77777777" w:rsidR="00B71EF8" w:rsidRDefault="005E37F9">
      <w:pP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  <w:r>
        <w:rPr>
          <w:rFonts w:ascii="Google Sans Text" w:eastAsia="Google Sans Text" w:hAnsi="Google Sans Text" w:cs="Google Sans Text"/>
          <w:color w:val="1B1C1D"/>
        </w:rPr>
        <w:t>Este evento é um pilar na construção do histórico de saúde ocupacional do trabalhador, sendo fundamental para a gestão preventiva e para o cumprimento de obrigações previdenciárias.</w:t>
      </w:r>
    </w:p>
    <w:p w14:paraId="00000003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O </w:t>
      </w:r>
      <w:r>
        <w:rPr>
          <w:rFonts w:ascii="Google Sans Text" w:eastAsia="Google Sans Text" w:hAnsi="Google Sans Text" w:cs="Google Sans Text"/>
          <w:b/>
          <w:color w:val="1B1C1D"/>
        </w:rPr>
        <w:t>S-2220</w:t>
      </w:r>
      <w:r>
        <w:rPr>
          <w:rFonts w:ascii="Google Sans Text" w:eastAsia="Google Sans Text" w:hAnsi="Google Sans Text" w:cs="Google Sans Text"/>
          <w:color w:val="1B1C1D"/>
        </w:rPr>
        <w:t xml:space="preserve"> é o evento do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eSocial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destinado a registrar as informações relativas ao monitoramento da saúde do trabalhador durante todo o seu vínculo laboral com a empresa. Ele detalha as avaliações clínicas e os exames complementares realizados, tendo como documento base o</w:t>
      </w:r>
    </w:p>
    <w:p w14:paraId="00000004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B1C1D"/>
        </w:rPr>
      </w:pPr>
    </w:p>
    <w:p w14:paraId="00000005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Atestado de Saúde Ocupacional (ASO)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6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B1C1D"/>
        </w:rPr>
      </w:pPr>
    </w:p>
    <w:p w14:paraId="00000007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Essencialmente, este evento digitaliza o registro dos seguintes exames:</w:t>
      </w:r>
    </w:p>
    <w:p w14:paraId="00000008" w14:textId="77777777" w:rsidR="00B71EF8" w:rsidRDefault="005E3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Admissional;</w:t>
      </w:r>
      <w:r>
        <w:rPr>
          <w:color w:val="000000"/>
        </w:rPr>
        <w:br/>
      </w:r>
    </w:p>
    <w:p w14:paraId="00000009" w14:textId="77777777" w:rsidR="00B71EF8" w:rsidRDefault="005E3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Periódico;</w:t>
      </w:r>
      <w:r>
        <w:rPr>
          <w:color w:val="000000"/>
        </w:rPr>
        <w:br/>
      </w:r>
    </w:p>
    <w:p w14:paraId="0000000A" w14:textId="77777777" w:rsidR="00B71EF8" w:rsidRDefault="005E3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Retorno ao Trabalho;</w:t>
      </w:r>
      <w:r>
        <w:rPr>
          <w:color w:val="000000"/>
        </w:rPr>
        <w:br/>
      </w:r>
    </w:p>
    <w:p w14:paraId="0000000B" w14:textId="77777777" w:rsidR="00B71EF8" w:rsidRDefault="005E3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Mudança de Função/Risco;</w:t>
      </w:r>
      <w:r>
        <w:rPr>
          <w:color w:val="000000"/>
        </w:rPr>
        <w:br/>
      </w:r>
    </w:p>
    <w:p w14:paraId="0000000C" w14:textId="77777777" w:rsidR="00B71EF8" w:rsidRDefault="005E3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Monitoração Pontual;</w:t>
      </w:r>
      <w:r>
        <w:rPr>
          <w:color w:val="000000"/>
        </w:rPr>
        <w:br/>
      </w:r>
    </w:p>
    <w:p w14:paraId="0000000D" w14:textId="77777777" w:rsidR="00B71EF8" w:rsidRDefault="005E3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Demissional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0E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B1C1D"/>
        </w:rPr>
      </w:pPr>
    </w:p>
    <w:p w14:paraId="0000000F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10" w14:textId="77777777" w:rsidR="00B71EF8" w:rsidRDefault="005E37F9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Envio de Exames Não Obrigatórios (Monitoração Pontual)</w:t>
      </w:r>
    </w:p>
    <w:p w14:paraId="00000011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00000012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Uma dúvida comum é sobre o registro de exames que não fazem parte da periodicidade fixa estabelecida pela legislação ou pelo PCMSO.</w:t>
      </w:r>
    </w:p>
    <w:p w14:paraId="00000013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O evento S-2220 deve registrar</w:t>
      </w:r>
    </w:p>
    <w:p w14:paraId="00000014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todos os exames que constam no ASO emitido</w:t>
      </w:r>
      <w:r>
        <w:rPr>
          <w:rFonts w:ascii="Google Sans Text" w:eastAsia="Google Sans Text" w:hAnsi="Google Sans Text" w:cs="Google Sans Text"/>
          <w:color w:val="1B1C1D"/>
        </w:rPr>
        <w:t>. Isso inclui tanto os exames obrigatórios previstos na legislação quanto exames complementares solicitados a critério médico.</w:t>
      </w:r>
    </w:p>
    <w:p w14:paraId="00000015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B1C1D"/>
        </w:rPr>
      </w:pPr>
    </w:p>
    <w:p w14:paraId="00000016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Se um médico, por uma necessidade específica, realiza um exame de</w:t>
      </w:r>
    </w:p>
    <w:p w14:paraId="00000017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monitoração pontual(Periódico Sem Exame Médico)</w:t>
      </w:r>
      <w:r>
        <w:rPr>
          <w:rFonts w:ascii="Google Sans Text" w:eastAsia="Google Sans Text" w:hAnsi="Google Sans Text" w:cs="Google Sans Text"/>
          <w:color w:val="1B1C1D"/>
        </w:rPr>
        <w:t xml:space="preserve"> e emite um ASO para documentar essa avaliação, este exame deve ser enviado ao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eSocial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através do evento S-2220. Exames complementares realizados de forma isolada, sem a emissão de um ASO, não são enviados separadamente; eles devem ser registrados no S-2220 junto com o ASO em que foram avaliados pelo médico.</w:t>
      </w:r>
    </w:p>
    <w:p w14:paraId="00000018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B1C1D"/>
        </w:rPr>
      </w:pPr>
    </w:p>
    <w:p w14:paraId="00000019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1A" w14:textId="77777777" w:rsidR="00B71EF8" w:rsidRDefault="005E37F9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Relação com as Normas Regulamentadoras</w:t>
      </w:r>
    </w:p>
    <w:p w14:paraId="0000001B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O evento S-2220 está intrinsecamente ligado à </w:t>
      </w:r>
      <w:r>
        <w:rPr>
          <w:rFonts w:ascii="Google Sans Text" w:eastAsia="Google Sans Text" w:hAnsi="Google Sans Text" w:cs="Google Sans Text"/>
          <w:b/>
          <w:color w:val="1B1C1D"/>
        </w:rPr>
        <w:t>Norma Regulamentadora nº 07 (NR-7)</w:t>
      </w:r>
      <w:r>
        <w:rPr>
          <w:rFonts w:ascii="Google Sans Text" w:eastAsia="Google Sans Text" w:hAnsi="Google Sans Text" w:cs="Google Sans Text"/>
          <w:color w:val="1B1C1D"/>
        </w:rPr>
        <w:t>, que estabelece a obrigatoriedade de elaboração e implementação do Programa de Controle Médico de Saúde Ocupacional (PCMSO). O PCMSO tem como objetivo a promoção e preservação da saúde dos trabalhadores, e o S-2220 é a ferramenta pela qual as ações de monitoramento de saúde previstas no programa são formalmente registradas no ambiente digital do governo.</w:t>
      </w:r>
    </w:p>
    <w:p w14:paraId="0000001C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1D" w14:textId="77777777" w:rsidR="00B71EF8" w:rsidRDefault="005E37F9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Impacto na Vida do Funcionário e na Previdência</w:t>
      </w:r>
    </w:p>
    <w:p w14:paraId="0000001E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0000001F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O correto envio do S-2220 tem um impacto direto e significativo na vida profissional e previdenciária do trabalhador. As informações prestadas neste evento são a base para a construção do</w:t>
      </w:r>
    </w:p>
    <w:p w14:paraId="00000020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Perfil Profissiográfico Previdenciário (PPP)</w:t>
      </w:r>
      <w:r>
        <w:rPr>
          <w:rFonts w:ascii="Google Sans Text" w:eastAsia="Google Sans Text" w:hAnsi="Google Sans Text" w:cs="Google Sans Text"/>
          <w:color w:val="1B1C1D"/>
        </w:rPr>
        <w:t xml:space="preserve"> em meio digital.</w:t>
      </w:r>
    </w:p>
    <w:p w14:paraId="00000021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B1C1D"/>
        </w:rPr>
      </w:pPr>
    </w:p>
    <w:p w14:paraId="00000022" w14:textId="77777777" w:rsidR="00B71EF8" w:rsidRDefault="005E37F9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O PPP é o documento que comprova o histórico laboral do trabalhador, detalhando as atividades exercidas e as exposições a agentes nocivos. Um registro preciso no S-2220 é fundamental para:</w:t>
      </w:r>
    </w:p>
    <w:p w14:paraId="00000023" w14:textId="77777777" w:rsidR="00B71EF8" w:rsidRDefault="005E3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Comprovação de Doenças Ocupacionais:</w:t>
      </w:r>
      <w:r>
        <w:rPr>
          <w:rFonts w:ascii="Google Sans Text" w:eastAsia="Google Sans Text" w:hAnsi="Google Sans Text" w:cs="Google Sans Text"/>
          <w:color w:val="1B1C1D"/>
        </w:rPr>
        <w:t xml:space="preserve"> O histórico de exames pode ser crucial para estabelecer o nexo causal entre uma doença e a atividade laboral.</w:t>
      </w:r>
    </w:p>
    <w:p w14:paraId="00000024" w14:textId="77777777" w:rsidR="00B71EF8" w:rsidRDefault="005E3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Aposentadoria Especial:</w:t>
      </w:r>
      <w:r>
        <w:rPr>
          <w:rFonts w:ascii="Google Sans Text" w:eastAsia="Google Sans Text" w:hAnsi="Google Sans Text" w:cs="Google Sans Text"/>
          <w:color w:val="1B1C1D"/>
        </w:rPr>
        <w:t xml:space="preserve"> O PPP, alimentado pelo S-2220 e S-2240, é o documento utilizado pelo trabalhador para comprovar a exposição a agentes nocivos e solicitar a aposentadoria especial junto ao INSS.</w:t>
      </w:r>
    </w:p>
    <w:p w14:paraId="00000027" w14:textId="7D274BA2" w:rsidR="00B71EF8" w:rsidRDefault="00E4156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282828"/>
        </w:rPr>
      </w:pP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r>
        <w:rPr>
          <w:rFonts w:ascii="Google Sans Text" w:eastAsia="Google Sans Text" w:hAnsi="Google Sans Text" w:cs="Google Sans Text"/>
          <w:color w:val="1B1C1D"/>
        </w:rPr>
        <w:br/>
      </w:r>
      <w:r w:rsidR="005E37F9">
        <w:rPr>
          <w:rFonts w:ascii="Google Sans Text" w:eastAsia="Google Sans Text" w:hAnsi="Google Sans Text" w:cs="Google Sans Text"/>
          <w:color w:val="FF0000"/>
        </w:rPr>
        <w:br/>
      </w:r>
      <w:r w:rsidR="005E37F9">
        <w:rPr>
          <w:rFonts w:ascii="Google Sans Text" w:eastAsia="Google Sans Text" w:hAnsi="Google Sans Text" w:cs="Google Sans Text"/>
          <w:color w:val="FF0000"/>
        </w:rPr>
        <w:br/>
      </w:r>
      <w:r w:rsidR="005E37F9">
        <w:rPr>
          <w:rFonts w:ascii="Google Sans Text" w:eastAsia="Google Sans Text" w:hAnsi="Google Sans Text" w:cs="Google Sans Text"/>
          <w:color w:val="FF0000"/>
        </w:rPr>
        <w:lastRenderedPageBreak/>
        <w:br/>
      </w:r>
      <w:r w:rsidR="005E37F9">
        <w:rPr>
          <w:rFonts w:ascii="Google Sans Text" w:eastAsia="Google Sans Text" w:hAnsi="Google Sans Text" w:cs="Google Sans Text"/>
          <w:b/>
          <w:color w:val="282828"/>
        </w:rPr>
        <w:t>Tabelas que Compõem o Evento S-2220</w:t>
      </w:r>
    </w:p>
    <w:p w14:paraId="00000028" w14:textId="77777777" w:rsidR="00B71EF8" w:rsidRDefault="005E37F9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  <w:r>
        <w:rPr>
          <w:rFonts w:ascii="Google Sans Text" w:eastAsia="Google Sans Text" w:hAnsi="Google Sans Text" w:cs="Google Sans Text"/>
          <w:color w:val="282828"/>
        </w:rPr>
        <w:t xml:space="preserve">O correto preenchimento do evento S-2220 exige a utilização de códigos específicos definidos em tabelas do </w:t>
      </w:r>
      <w:proofErr w:type="spellStart"/>
      <w:r>
        <w:rPr>
          <w:rFonts w:ascii="Google Sans Text" w:eastAsia="Google Sans Text" w:hAnsi="Google Sans Text" w:cs="Google Sans Text"/>
          <w:color w:val="282828"/>
        </w:rPr>
        <w:t>eSocial</w:t>
      </w:r>
      <w:proofErr w:type="spellEnd"/>
      <w:r>
        <w:rPr>
          <w:rFonts w:ascii="Google Sans Text" w:eastAsia="Google Sans Text" w:hAnsi="Google Sans Text" w:cs="Google Sans Text"/>
          <w:color w:val="282828"/>
        </w:rPr>
        <w:t>. Abaixo, estão as tabelas oficialmente relacionadas:</w:t>
      </w:r>
    </w:p>
    <w:p w14:paraId="00000029" w14:textId="77777777" w:rsidR="00B71EF8" w:rsidRDefault="00B71EF8">
      <w:pPr>
        <w:spacing w:after="240" w:line="275" w:lineRule="auto"/>
        <w:rPr>
          <w:rFonts w:ascii="Google Sans Text" w:eastAsia="Google Sans Text" w:hAnsi="Google Sans Text" w:cs="Google Sans Text"/>
          <w:b/>
          <w:color w:val="282828"/>
        </w:rPr>
      </w:pPr>
    </w:p>
    <w:p w14:paraId="0000002A" w14:textId="77777777" w:rsidR="00B71EF8" w:rsidRDefault="005E37F9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  <w:r>
        <w:rPr>
          <w:rFonts w:ascii="Google Sans Text" w:eastAsia="Google Sans Text" w:hAnsi="Google Sans Text" w:cs="Google Sans Text"/>
          <w:b/>
          <w:color w:val="282828"/>
          <w:sz w:val="28"/>
          <w:szCs w:val="28"/>
        </w:rPr>
        <w:t>Tabela 05</w:t>
      </w:r>
      <w:r>
        <w:rPr>
          <w:rFonts w:ascii="Google Sans Text" w:eastAsia="Google Sans Text" w:hAnsi="Google Sans Text" w:cs="Google Sans Text"/>
          <w:color w:val="282828"/>
          <w:sz w:val="28"/>
          <w:szCs w:val="28"/>
        </w:rPr>
        <w:t xml:space="preserve"> </w:t>
      </w:r>
      <w:r>
        <w:rPr>
          <w:rFonts w:ascii="Google Sans Text" w:eastAsia="Google Sans Text" w:hAnsi="Google Sans Text" w:cs="Google Sans Text"/>
          <w:color w:val="282828"/>
        </w:rPr>
        <w:t>– Tipos de Inscrição</w:t>
      </w:r>
    </w:p>
    <w:p w14:paraId="0000002B" w14:textId="77777777" w:rsidR="00B71EF8" w:rsidRDefault="005E37F9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  <w:r>
        <w:rPr>
          <w:rFonts w:ascii="Google Sans Text" w:eastAsia="Google Sans Text" w:hAnsi="Google Sans Text" w:cs="Google Sans Text"/>
          <w:color w:val="282828"/>
        </w:rPr>
        <w:t>Finalidade: Identificar o tipo de inscrição do local onde o exame foi realizado.</w:t>
      </w:r>
    </w:p>
    <w:p w14:paraId="0000002C" w14:textId="77777777" w:rsidR="00B71EF8" w:rsidRDefault="005E37F9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  <w:r>
        <w:rPr>
          <w:rFonts w:ascii="Google Sans Text" w:eastAsia="Google Sans Text" w:hAnsi="Google Sans Text" w:cs="Google Sans Text"/>
          <w:color w:val="282828"/>
        </w:rPr>
        <w:t>Exemplo: CNPJ, CAEPF, CNO etc.</w:t>
      </w:r>
    </w:p>
    <w:p w14:paraId="0000002D" w14:textId="77777777" w:rsidR="00B71EF8" w:rsidRDefault="00B71EF8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</w:p>
    <w:p w14:paraId="0000002E" w14:textId="77777777" w:rsidR="00B71EF8" w:rsidRDefault="005E37F9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  <w:r>
        <w:rPr>
          <w:rFonts w:ascii="Google Sans Text" w:eastAsia="Google Sans Text" w:hAnsi="Google Sans Text" w:cs="Google Sans Text"/>
          <w:color w:val="282828"/>
        </w:rPr>
        <w:t>•Campo relacionado: {</w:t>
      </w:r>
      <w:proofErr w:type="spellStart"/>
      <w:r>
        <w:rPr>
          <w:rFonts w:ascii="Google Sans Text" w:eastAsia="Google Sans Text" w:hAnsi="Google Sans Text" w:cs="Google Sans Text"/>
          <w:color w:val="282828"/>
        </w:rPr>
        <w:t>ideEstabSaude</w:t>
      </w:r>
      <w:proofErr w:type="spellEnd"/>
      <w:r>
        <w:rPr>
          <w:rFonts w:ascii="Google Sans Text" w:eastAsia="Google Sans Text" w:hAnsi="Google Sans Text" w:cs="Google Sans Text"/>
          <w:color w:val="282828"/>
        </w:rPr>
        <w:t>/</w:t>
      </w:r>
      <w:proofErr w:type="spellStart"/>
      <w:r>
        <w:rPr>
          <w:rFonts w:ascii="Google Sans Text" w:eastAsia="Google Sans Text" w:hAnsi="Google Sans Text" w:cs="Google Sans Text"/>
          <w:color w:val="282828"/>
        </w:rPr>
        <w:t>tpInsc</w:t>
      </w:r>
      <w:proofErr w:type="spellEnd"/>
      <w:r>
        <w:rPr>
          <w:rFonts w:ascii="Google Sans Text" w:eastAsia="Google Sans Text" w:hAnsi="Google Sans Text" w:cs="Google Sans Text"/>
          <w:color w:val="282828"/>
        </w:rPr>
        <w:t>}</w:t>
      </w:r>
    </w:p>
    <w:p w14:paraId="0000002F" w14:textId="77777777" w:rsidR="00B71EF8" w:rsidRDefault="00B71EF8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</w:p>
    <w:p w14:paraId="560B889D" w14:textId="77777777" w:rsidR="005E37F9" w:rsidRPr="00FE2001" w:rsidRDefault="005E37F9" w:rsidP="005E37F9">
      <w:pPr>
        <w:spacing w:after="240" w:line="275" w:lineRule="auto"/>
        <w:rPr>
          <w:rFonts w:eastAsia="Google Sans Text"/>
          <w:color w:val="282828"/>
          <w:sz w:val="24"/>
          <w:szCs w:val="24"/>
        </w:rPr>
      </w:pPr>
      <w:r w:rsidRPr="00FE2001">
        <w:rPr>
          <w:rFonts w:eastAsia="Google Sans Text"/>
          <w:b/>
          <w:bCs/>
          <w:color w:val="282828"/>
          <w:sz w:val="28"/>
          <w:szCs w:val="28"/>
        </w:rPr>
        <w:t>Tabela 01</w:t>
      </w:r>
      <w:r>
        <w:rPr>
          <w:rFonts w:eastAsia="Google Sans Text"/>
          <w:b/>
          <w:bCs/>
          <w:color w:val="282828"/>
          <w:sz w:val="28"/>
          <w:szCs w:val="28"/>
        </w:rPr>
        <w:t xml:space="preserve"> -</w:t>
      </w:r>
      <w:r w:rsidRPr="00FE2001">
        <w:rPr>
          <w:rFonts w:eastAsia="Google Sans Text"/>
          <w:color w:val="282828"/>
          <w:sz w:val="24"/>
          <w:szCs w:val="24"/>
        </w:rPr>
        <w:t xml:space="preserve"> Categorias de Trabalhadores</w:t>
      </w:r>
    </w:p>
    <w:p w14:paraId="1384C176" w14:textId="77777777" w:rsidR="005E37F9" w:rsidRPr="00FE2001" w:rsidRDefault="005E37F9" w:rsidP="005E37F9">
      <w:pPr>
        <w:spacing w:after="240" w:line="275" w:lineRule="auto"/>
        <w:rPr>
          <w:rFonts w:eastAsia="Google Sans Text"/>
          <w:color w:val="282828"/>
          <w:sz w:val="24"/>
          <w:szCs w:val="24"/>
        </w:rPr>
      </w:pPr>
      <w:r w:rsidRPr="00FE2001">
        <w:rPr>
          <w:rFonts w:eastAsia="Google Sans Text"/>
          <w:color w:val="282828"/>
          <w:sz w:val="24"/>
          <w:szCs w:val="24"/>
        </w:rPr>
        <w:t>Finalidade: Identificar a categoria do trabalhador conforme seu vínculo com o declarante (empregado, estagiário, autônomo, cooperado, servidor público etc.), impactando na obrigatoriedade e tipo de exames ocupacionais.</w:t>
      </w:r>
    </w:p>
    <w:p w14:paraId="66FE863C" w14:textId="77777777" w:rsidR="005E37F9" w:rsidRPr="00FE2001" w:rsidRDefault="005E37F9" w:rsidP="005E37F9">
      <w:pPr>
        <w:spacing w:after="240" w:line="275" w:lineRule="auto"/>
        <w:rPr>
          <w:rFonts w:eastAsia="Google Sans Text"/>
          <w:color w:val="282828"/>
          <w:sz w:val="24"/>
          <w:szCs w:val="24"/>
        </w:rPr>
      </w:pPr>
    </w:p>
    <w:p w14:paraId="4D7098BE" w14:textId="77777777" w:rsidR="005E37F9" w:rsidRPr="00FE2001" w:rsidRDefault="005E37F9" w:rsidP="005E37F9">
      <w:pPr>
        <w:spacing w:after="240" w:line="275" w:lineRule="auto"/>
        <w:rPr>
          <w:rFonts w:ascii="Google Sans Text" w:eastAsia="Google Sans Text" w:hAnsi="Google Sans Text" w:cs="Google Sans Text"/>
          <w:color w:val="282828"/>
          <w:sz w:val="24"/>
          <w:szCs w:val="24"/>
        </w:rPr>
      </w:pPr>
      <w:r w:rsidRPr="00FE2001">
        <w:rPr>
          <w:rFonts w:eastAsia="Google Sans Text"/>
          <w:color w:val="282828"/>
          <w:sz w:val="24"/>
          <w:szCs w:val="24"/>
        </w:rPr>
        <w:t>•Campo relacionado: {categoria}</w:t>
      </w:r>
    </w:p>
    <w:p w14:paraId="00000034" w14:textId="77777777" w:rsidR="00B71EF8" w:rsidRDefault="00B71EF8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</w:p>
    <w:p w14:paraId="00000035" w14:textId="77777777" w:rsidR="00B71EF8" w:rsidRDefault="005E37F9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  <w:r>
        <w:rPr>
          <w:rFonts w:ascii="Google Sans Text" w:eastAsia="Google Sans Text" w:hAnsi="Google Sans Text" w:cs="Google Sans Text"/>
          <w:b/>
          <w:color w:val="282828"/>
          <w:sz w:val="28"/>
          <w:szCs w:val="28"/>
        </w:rPr>
        <w:t xml:space="preserve">Tabela 27 </w:t>
      </w:r>
      <w:r>
        <w:rPr>
          <w:rFonts w:ascii="Google Sans Text" w:eastAsia="Google Sans Text" w:hAnsi="Google Sans Text" w:cs="Google Sans Text"/>
          <w:color w:val="282828"/>
        </w:rPr>
        <w:t>– Procedimentos Diagnósticos</w:t>
      </w:r>
    </w:p>
    <w:p w14:paraId="00000036" w14:textId="77777777" w:rsidR="00B71EF8" w:rsidRDefault="005E37F9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  <w:r>
        <w:rPr>
          <w:rFonts w:ascii="Google Sans Text" w:eastAsia="Google Sans Text" w:hAnsi="Google Sans Text" w:cs="Google Sans Text"/>
          <w:color w:val="282828"/>
        </w:rPr>
        <w:t>Finalidade: Informar o tipo de exame clínico ou complementar realizado.</w:t>
      </w:r>
      <w:r>
        <w:rPr>
          <w:rFonts w:ascii="Google Sans Text" w:eastAsia="Google Sans Text" w:hAnsi="Google Sans Text" w:cs="Google Sans Text"/>
          <w:color w:val="282828"/>
        </w:rPr>
        <w:br/>
      </w:r>
    </w:p>
    <w:p w14:paraId="00000037" w14:textId="77777777" w:rsidR="00B71EF8" w:rsidRDefault="005E37F9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  <w:r>
        <w:rPr>
          <w:rFonts w:ascii="Google Sans Text" w:eastAsia="Google Sans Text" w:hAnsi="Google Sans Text" w:cs="Google Sans Text"/>
          <w:color w:val="282828"/>
        </w:rPr>
        <w:t>•Campo relacionado: {</w:t>
      </w:r>
      <w:proofErr w:type="spellStart"/>
      <w:r>
        <w:rPr>
          <w:rFonts w:ascii="Google Sans Text" w:eastAsia="Google Sans Text" w:hAnsi="Google Sans Text" w:cs="Google Sans Text"/>
          <w:color w:val="282828"/>
        </w:rPr>
        <w:t>procRealizado</w:t>
      </w:r>
      <w:proofErr w:type="spellEnd"/>
      <w:r>
        <w:rPr>
          <w:rFonts w:ascii="Google Sans Text" w:eastAsia="Google Sans Text" w:hAnsi="Google Sans Text" w:cs="Google Sans Text"/>
          <w:color w:val="282828"/>
        </w:rPr>
        <w:t>/</w:t>
      </w:r>
      <w:proofErr w:type="spellStart"/>
      <w:r>
        <w:rPr>
          <w:rFonts w:ascii="Google Sans Text" w:eastAsia="Google Sans Text" w:hAnsi="Google Sans Text" w:cs="Google Sans Text"/>
          <w:color w:val="282828"/>
        </w:rPr>
        <w:t>codProcRealizado</w:t>
      </w:r>
      <w:proofErr w:type="spellEnd"/>
      <w:r>
        <w:rPr>
          <w:rFonts w:ascii="Google Sans Text" w:eastAsia="Google Sans Text" w:hAnsi="Google Sans Text" w:cs="Google Sans Text"/>
          <w:color w:val="282828"/>
        </w:rPr>
        <w:t>}</w:t>
      </w:r>
    </w:p>
    <w:p w14:paraId="00000038" w14:textId="77777777" w:rsidR="00B71EF8" w:rsidRDefault="00B71EF8">
      <w:pP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</w:p>
    <w:p w14:paraId="00000039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282828"/>
        </w:rPr>
      </w:pPr>
    </w:p>
    <w:p w14:paraId="0000003A" w14:textId="77777777" w:rsidR="00B71EF8" w:rsidRDefault="00B71EF8">
      <w:pPr>
        <w:spacing w:after="240" w:line="275" w:lineRule="auto"/>
        <w:rPr>
          <w:rFonts w:ascii="Google Sans Text" w:eastAsia="Google Sans Text" w:hAnsi="Google Sans Text" w:cs="Google Sans Text"/>
          <w:b/>
        </w:rPr>
      </w:pPr>
    </w:p>
    <w:p w14:paraId="0000003B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</w:rPr>
      </w:pPr>
    </w:p>
    <w:p w14:paraId="0000003C" w14:textId="77777777" w:rsidR="00B71EF8" w:rsidRDefault="00B71EF8">
      <w:pPr>
        <w:spacing w:after="240" w:line="275" w:lineRule="auto"/>
        <w:rPr>
          <w:rFonts w:ascii="Google Sans Text" w:eastAsia="Google Sans Text" w:hAnsi="Google Sans Text" w:cs="Google Sans Text"/>
        </w:rPr>
      </w:pPr>
    </w:p>
    <w:p w14:paraId="0000003D" w14:textId="77777777" w:rsidR="00B71EF8" w:rsidRDefault="00B71EF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</w:rPr>
      </w:pPr>
    </w:p>
    <w:sectPr w:rsidR="00B71EF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2928F0"/>
    <w:multiLevelType w:val="multilevel"/>
    <w:tmpl w:val="70165B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20B0C5F"/>
    <w:multiLevelType w:val="multilevel"/>
    <w:tmpl w:val="9F1468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EF8"/>
    <w:rsid w:val="005E37F9"/>
    <w:rsid w:val="00B71EF8"/>
    <w:rsid w:val="00E4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349B8"/>
  <w15:docId w15:val="{FE63D6EE-2508-4F9E-A36A-9114012B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Coelho</cp:lastModifiedBy>
  <cp:revision>3</cp:revision>
  <dcterms:created xsi:type="dcterms:W3CDTF">2025-07-22T18:12:00Z</dcterms:created>
  <dcterms:modified xsi:type="dcterms:W3CDTF">2025-07-23T18:43:00Z</dcterms:modified>
</cp:coreProperties>
</file>