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9A0EA" w14:textId="7E2F2660" w:rsidR="005B3CF2" w:rsidRPr="00F52EBA" w:rsidRDefault="00F52EBA" w:rsidP="005B3CF2">
      <w:pPr>
        <w:pStyle w:val="NormalWeb"/>
        <w:rPr>
          <w:rFonts w:ascii="Arial" w:hAnsi="Arial" w:cs="Arial"/>
        </w:rPr>
      </w:pPr>
      <w:r w:rsidRPr="00F52EBA">
        <w:rPr>
          <w:rFonts w:ascii="Arial" w:hAnsi="Arial" w:cs="Arial"/>
          <w:b/>
          <w:bCs/>
          <w:sz w:val="28"/>
          <w:szCs w:val="28"/>
        </w:rPr>
        <w:t>Eventos de SST no âmbito dos órgãos públicos</w:t>
      </w:r>
      <w:r>
        <w:rPr>
          <w:rFonts w:ascii="Arial" w:hAnsi="Arial" w:cs="Arial"/>
        </w:rPr>
        <w:br/>
      </w:r>
      <w:r w:rsidR="00174E5C" w:rsidRPr="00F52EBA">
        <w:rPr>
          <w:rFonts w:ascii="Arial" w:hAnsi="Arial" w:cs="Arial"/>
        </w:rPr>
        <w:t xml:space="preserve">No sistema possuímos a possibilidade de enviar eventos para empresas que se enquadram no âmbito público ou funcionários sem vínculo. Para entendermos e realizarmos esse tipo de envio precisamos nos basear no manual de orientação do </w:t>
      </w:r>
      <w:r w:rsidR="00A37CAC" w:rsidRPr="00F52EBA">
        <w:rPr>
          <w:rFonts w:ascii="Arial" w:hAnsi="Arial" w:cs="Arial"/>
        </w:rPr>
        <w:t>e Social</w:t>
      </w:r>
      <w:r w:rsidR="00174E5C" w:rsidRPr="00F52EBA">
        <w:rPr>
          <w:rFonts w:ascii="Arial" w:hAnsi="Arial" w:cs="Arial"/>
        </w:rPr>
        <w:t xml:space="preserve">, com ele podemos entender de forma </w:t>
      </w:r>
      <w:r w:rsidR="003A2CDD" w:rsidRPr="00F52EBA">
        <w:rPr>
          <w:rFonts w:ascii="Arial" w:hAnsi="Arial" w:cs="Arial"/>
        </w:rPr>
        <w:t>clara</w:t>
      </w:r>
      <w:r w:rsidR="00174E5C" w:rsidRPr="00F52EBA">
        <w:rPr>
          <w:rFonts w:ascii="Arial" w:hAnsi="Arial" w:cs="Arial"/>
        </w:rPr>
        <w:t xml:space="preserve"> quais são os </w:t>
      </w:r>
      <w:r w:rsidR="003A2CDD" w:rsidRPr="00F52EBA">
        <w:rPr>
          <w:rFonts w:ascii="Arial" w:hAnsi="Arial" w:cs="Arial"/>
        </w:rPr>
        <w:t>funcionários</w:t>
      </w:r>
      <w:r w:rsidR="00174E5C" w:rsidRPr="00F52EBA">
        <w:rPr>
          <w:rFonts w:ascii="Arial" w:hAnsi="Arial" w:cs="Arial"/>
        </w:rPr>
        <w:t xml:space="preserve"> públicos de acordo </w:t>
      </w:r>
      <w:r w:rsidR="001F66D6" w:rsidRPr="00F52EBA">
        <w:rPr>
          <w:rFonts w:ascii="Arial" w:hAnsi="Arial" w:cs="Arial"/>
        </w:rPr>
        <w:t>com a</w:t>
      </w:r>
      <w:r w:rsidR="00174E5C" w:rsidRPr="00F52EBA">
        <w:rPr>
          <w:rFonts w:ascii="Arial" w:hAnsi="Arial" w:cs="Arial"/>
        </w:rPr>
        <w:t xml:space="preserve"> </w:t>
      </w:r>
      <w:r w:rsidR="003A2CDD" w:rsidRPr="00F52EBA">
        <w:rPr>
          <w:rFonts w:ascii="Arial" w:hAnsi="Arial" w:cs="Arial"/>
        </w:rPr>
        <w:t>categoria</w:t>
      </w:r>
      <w:r w:rsidR="00174E5C" w:rsidRPr="00F52EBA">
        <w:rPr>
          <w:rFonts w:ascii="Arial" w:hAnsi="Arial" w:cs="Arial"/>
        </w:rPr>
        <w:t xml:space="preserve"> de trabalho deles e verificar a obrigatoriedade do envio de eventos de acordo com sua própria categoria.</w:t>
      </w:r>
      <w:r w:rsidR="00174E5C" w:rsidRPr="00F52EBA">
        <w:rPr>
          <w:rFonts w:ascii="Arial" w:hAnsi="Arial" w:cs="Arial"/>
        </w:rPr>
        <w:br/>
      </w:r>
      <w:r w:rsidR="00174E5C" w:rsidRPr="00F52EBA">
        <w:rPr>
          <w:rFonts w:ascii="Arial" w:hAnsi="Arial" w:cs="Arial"/>
        </w:rPr>
        <w:br/>
        <w:t xml:space="preserve">Para iniciarmos podemos analisar as categorias </w:t>
      </w:r>
      <w:r w:rsidR="001F66D6" w:rsidRPr="00F52EBA">
        <w:rPr>
          <w:rFonts w:ascii="Arial" w:hAnsi="Arial" w:cs="Arial"/>
        </w:rPr>
        <w:t xml:space="preserve">que enquadram funcionários públicos de acordo com a tabela 01 do </w:t>
      </w:r>
      <w:proofErr w:type="spellStart"/>
      <w:r w:rsidR="00A37CAC" w:rsidRPr="00F52EBA">
        <w:rPr>
          <w:rFonts w:ascii="Arial" w:hAnsi="Arial" w:cs="Arial"/>
        </w:rPr>
        <w:t>eSocial</w:t>
      </w:r>
      <w:proofErr w:type="spellEnd"/>
      <w:r w:rsidR="001F66D6" w:rsidRPr="00F52EBA">
        <w:rPr>
          <w:rFonts w:ascii="Arial" w:hAnsi="Arial" w:cs="Arial"/>
        </w:rPr>
        <w:t xml:space="preserve"> </w:t>
      </w:r>
      <w:r w:rsidR="00A37CAC" w:rsidRPr="00F52EBA">
        <w:rPr>
          <w:rFonts w:ascii="Arial" w:hAnsi="Arial" w:cs="Arial"/>
        </w:rPr>
        <w:t xml:space="preserve">todos os funcionários que ocupam cargos de código 3XX se enquadram como funcionários públicos, ou seja, qualquer funcionário com código entre </w:t>
      </w:r>
      <w:r w:rsidR="00A37CAC" w:rsidRPr="00F52EBA">
        <w:rPr>
          <w:rFonts w:ascii="Arial" w:hAnsi="Arial" w:cs="Arial"/>
          <w:b/>
          <w:bCs/>
        </w:rPr>
        <w:t>301 ao 314</w:t>
      </w:r>
      <w:r w:rsidR="00A37CAC" w:rsidRPr="00F52EBA">
        <w:rPr>
          <w:rFonts w:ascii="Arial" w:hAnsi="Arial" w:cs="Arial"/>
        </w:rPr>
        <w:t xml:space="preserve"> se enquadram nesse tipo de evento. </w:t>
      </w:r>
      <w:hyperlink r:id="rId5" w:anchor="01" w:history="1">
        <w:r w:rsidR="00A37CAC" w:rsidRPr="00F52EBA">
          <w:rPr>
            <w:rStyle w:val="Hyperlink"/>
            <w:rFonts w:ascii="Arial" w:hAnsi="Arial" w:cs="Arial"/>
          </w:rPr>
          <w:t>Link p</w:t>
        </w:r>
        <w:r w:rsidR="00A37CAC" w:rsidRPr="00F52EBA">
          <w:rPr>
            <w:rStyle w:val="Hyperlink"/>
            <w:rFonts w:ascii="Arial" w:hAnsi="Arial" w:cs="Arial"/>
          </w:rPr>
          <w:t>a</w:t>
        </w:r>
        <w:r w:rsidR="00A37CAC" w:rsidRPr="00F52EBA">
          <w:rPr>
            <w:rStyle w:val="Hyperlink"/>
            <w:rFonts w:ascii="Arial" w:hAnsi="Arial" w:cs="Arial"/>
          </w:rPr>
          <w:t xml:space="preserve">ra a </w:t>
        </w:r>
        <w:r w:rsidR="00A37CAC" w:rsidRPr="00F52EBA">
          <w:rPr>
            <w:rStyle w:val="Hyperlink"/>
            <w:rFonts w:ascii="Arial" w:hAnsi="Arial" w:cs="Arial"/>
          </w:rPr>
          <w:t>t</w:t>
        </w:r>
        <w:r w:rsidR="00A37CAC" w:rsidRPr="00F52EBA">
          <w:rPr>
            <w:rStyle w:val="Hyperlink"/>
            <w:rFonts w:ascii="Arial" w:hAnsi="Arial" w:cs="Arial"/>
          </w:rPr>
          <w:t>abela</w:t>
        </w:r>
      </w:hyperlink>
      <w:r w:rsidR="001F66D6" w:rsidRPr="00F52EBA">
        <w:rPr>
          <w:rFonts w:ascii="Arial" w:hAnsi="Arial" w:cs="Arial"/>
        </w:rPr>
        <w:br/>
      </w:r>
      <w:r w:rsidR="001F66D6" w:rsidRPr="00F52EBA">
        <w:rPr>
          <w:rFonts w:ascii="Arial" w:hAnsi="Arial" w:cs="Arial"/>
        </w:rPr>
        <w:br/>
      </w:r>
      <w:r w:rsidR="001F66D6" w:rsidRPr="00F52EBA">
        <w:rPr>
          <w:rFonts w:ascii="Arial" w:hAnsi="Arial" w:cs="Arial"/>
        </w:rPr>
        <w:br/>
      </w:r>
      <w:r w:rsidR="001F66D6" w:rsidRPr="00F52EBA">
        <w:rPr>
          <w:rFonts w:ascii="Arial" w:hAnsi="Arial" w:cs="Arial"/>
        </w:rPr>
        <w:br/>
        <w:t xml:space="preserve">Podemos identificar que funcionários públicos possuem suas próprias regras para determinar o envio de eventos sejam eles de SST ou trabalhistas/folha. Devido a essas peculiaridades, </w:t>
      </w:r>
      <w:r w:rsidR="00A37CAC" w:rsidRPr="00F52EBA">
        <w:rPr>
          <w:rFonts w:ascii="Arial" w:hAnsi="Arial" w:cs="Arial"/>
        </w:rPr>
        <w:t>é</w:t>
      </w:r>
      <w:r w:rsidR="001F66D6" w:rsidRPr="00F52EBA">
        <w:rPr>
          <w:rFonts w:ascii="Arial" w:hAnsi="Arial" w:cs="Arial"/>
        </w:rPr>
        <w:t xml:space="preserve"> </w:t>
      </w:r>
      <w:r w:rsidR="00A37CAC" w:rsidRPr="00F52EBA">
        <w:rPr>
          <w:rFonts w:ascii="Arial" w:hAnsi="Arial" w:cs="Arial"/>
        </w:rPr>
        <w:t>preciso</w:t>
      </w:r>
      <w:r w:rsidR="001F66D6" w:rsidRPr="00F52EBA">
        <w:rPr>
          <w:rFonts w:ascii="Arial" w:hAnsi="Arial" w:cs="Arial"/>
        </w:rPr>
        <w:t xml:space="preserve"> saber como esse funcionário se enquadra no </w:t>
      </w:r>
      <w:r w:rsidR="00A37CAC" w:rsidRPr="00F52EBA">
        <w:rPr>
          <w:rFonts w:ascii="Arial" w:hAnsi="Arial" w:cs="Arial"/>
        </w:rPr>
        <w:t>regime previdenciário já que esses eventos que enviamos se enquadram apenas em funcionários públicos de RGPS, funcionários fora desse escopo do INSS não recebem eventos</w:t>
      </w:r>
      <w:r w:rsidR="005B3CF2" w:rsidRPr="00F52EBA">
        <w:rPr>
          <w:rFonts w:ascii="Arial" w:hAnsi="Arial" w:cs="Arial"/>
        </w:rPr>
        <w:t xml:space="preserve">. </w:t>
      </w:r>
      <w:r w:rsidR="005B3CF2" w:rsidRPr="00F52EBA">
        <w:rPr>
          <w:rFonts w:ascii="Arial" w:hAnsi="Arial" w:cs="Arial"/>
          <w:b/>
          <w:bCs/>
          <w:i/>
          <w:iCs/>
        </w:rPr>
        <w:t xml:space="preserve">(a não ser que se enquadrem ao seguinte texto do manual de orientações: </w:t>
      </w:r>
      <w:r w:rsidR="005B3CF2" w:rsidRPr="00F52EBA">
        <w:rPr>
          <w:rFonts w:ascii="Arial" w:hAnsi="Arial" w:cs="Arial"/>
          <w:b/>
          <w:bCs/>
          <w:i/>
          <w:iCs/>
        </w:rPr>
        <w:t>As informações são obrigatórias só para segurados vinculados ao RGPS, mas é possível a informação relativa a servidores vinculados a RPPS, para fins de cumprimento do que dispõe a Nota Técnica 2/2014/CGNAL/DRPSP/SPPS/MPS.</w:t>
      </w:r>
      <w:r w:rsidR="005B3CF2" w:rsidRPr="00F52EBA">
        <w:rPr>
          <w:rFonts w:ascii="Arial" w:hAnsi="Arial" w:cs="Arial"/>
          <w:b/>
          <w:bCs/>
          <w:i/>
          <w:iCs/>
        </w:rPr>
        <w:t>)</w:t>
      </w:r>
      <w:r w:rsidR="00A37CAC" w:rsidRPr="00F52EBA">
        <w:rPr>
          <w:rFonts w:ascii="Arial" w:hAnsi="Arial" w:cs="Arial"/>
        </w:rPr>
        <w:br/>
      </w:r>
      <w:r w:rsidR="00A37CAC" w:rsidRPr="00F52EBA">
        <w:rPr>
          <w:rFonts w:ascii="Arial" w:hAnsi="Arial" w:cs="Arial"/>
        </w:rPr>
        <w:br/>
        <w:t xml:space="preserve">Abaixo segue a tabela do manual de orientação do </w:t>
      </w:r>
      <w:proofErr w:type="spellStart"/>
      <w:r w:rsidR="00A37CAC" w:rsidRPr="00F52EBA">
        <w:rPr>
          <w:rFonts w:ascii="Arial" w:hAnsi="Arial" w:cs="Arial"/>
        </w:rPr>
        <w:t>e</w:t>
      </w:r>
      <w:r w:rsidR="005B3CF2" w:rsidRPr="00F52EBA">
        <w:rPr>
          <w:rFonts w:ascii="Arial" w:hAnsi="Arial" w:cs="Arial"/>
        </w:rPr>
        <w:t>S</w:t>
      </w:r>
      <w:r w:rsidR="00A37CAC" w:rsidRPr="00F52EBA">
        <w:rPr>
          <w:rFonts w:ascii="Arial" w:hAnsi="Arial" w:cs="Arial"/>
        </w:rPr>
        <w:t>ocial</w:t>
      </w:r>
      <w:proofErr w:type="spellEnd"/>
      <w:r w:rsidR="00A37CAC" w:rsidRPr="00F52EBA">
        <w:rPr>
          <w:rFonts w:ascii="Arial" w:hAnsi="Arial" w:cs="Arial"/>
        </w:rPr>
        <w:t xml:space="preserve"> no tópico </w:t>
      </w:r>
      <w:r w:rsidR="00A37CAC" w:rsidRPr="00F52EBA">
        <w:rPr>
          <w:rFonts w:ascii="Arial" w:hAnsi="Arial" w:cs="Arial"/>
          <w:b/>
          <w:bCs/>
        </w:rPr>
        <w:t>19. Informações Gerais Sobre os Eventos de Segurança e Saúde no Trabalho – SST</w:t>
      </w:r>
      <w:r w:rsidR="00A37CAC" w:rsidRPr="00F52EBA">
        <w:rPr>
          <w:rFonts w:ascii="Arial" w:hAnsi="Arial" w:cs="Arial"/>
          <w:b/>
          <w:bCs/>
        </w:rPr>
        <w:t xml:space="preserve"> </w:t>
      </w:r>
      <w:r w:rsidR="00A37CAC" w:rsidRPr="00F52EBA">
        <w:rPr>
          <w:rFonts w:ascii="Arial" w:hAnsi="Arial" w:cs="Arial"/>
        </w:rPr>
        <w:t>que nos informa sobre a obrigatoriedade do envio de eventos no âmbito da saúde e segurança do trabalho.</w:t>
      </w:r>
      <w:r w:rsidR="00A37CAC" w:rsidRPr="00F52EBA">
        <w:rPr>
          <w:rFonts w:ascii="Arial" w:hAnsi="Arial" w:cs="Arial"/>
        </w:rPr>
        <w:br/>
      </w:r>
      <w:r w:rsidR="00A37CAC">
        <w:br/>
      </w:r>
      <w:r w:rsidR="00A37CAC">
        <w:rPr>
          <w:noProof/>
        </w:rPr>
        <w:drawing>
          <wp:inline distT="0" distB="0" distL="0" distR="0" wp14:anchorId="0E54342B" wp14:editId="05995A33">
            <wp:extent cx="5400040" cy="28314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CAC">
        <w:br/>
      </w:r>
      <w:r w:rsidR="005B3CF2" w:rsidRPr="00F52EBA">
        <w:rPr>
          <w:rFonts w:ascii="Arial" w:hAnsi="Arial" w:cs="Arial"/>
        </w:rPr>
        <w:t xml:space="preserve">(Essa tabela informa sobre todas as categorias, porém nesse momento o foco </w:t>
      </w:r>
      <w:r w:rsidR="005B3CF2" w:rsidRPr="00F52EBA">
        <w:rPr>
          <w:rFonts w:ascii="Arial" w:hAnsi="Arial" w:cs="Arial"/>
        </w:rPr>
        <w:lastRenderedPageBreak/>
        <w:t>seria a categoria 3XX)</w:t>
      </w:r>
      <w:r w:rsidR="00A37CAC" w:rsidRPr="00F52EBA">
        <w:rPr>
          <w:rFonts w:ascii="Arial" w:hAnsi="Arial" w:cs="Arial"/>
        </w:rPr>
        <w:br/>
        <w:t>Além disso o texto destaca “</w:t>
      </w:r>
      <w:r w:rsidR="005B3CF2" w:rsidRPr="00F52EBA">
        <w:rPr>
          <w:rFonts w:ascii="Arial" w:hAnsi="Arial" w:cs="Arial"/>
          <w:b/>
          <w:bCs/>
          <w:i/>
          <w:iCs/>
        </w:rPr>
        <w:t>Ressalta-se ainda que, para os estagiários, não é obrigatório o envio dos eventos de SST.</w:t>
      </w:r>
      <w:r w:rsidR="005B3CF2" w:rsidRPr="00F52EBA">
        <w:rPr>
          <w:rFonts w:ascii="Arial" w:hAnsi="Arial" w:cs="Arial"/>
          <w:b/>
          <w:bCs/>
          <w:i/>
          <w:iCs/>
        </w:rPr>
        <w:t>”</w:t>
      </w:r>
      <w:r w:rsidR="005B3CF2" w:rsidRPr="00F52EBA">
        <w:rPr>
          <w:rFonts w:ascii="Arial" w:hAnsi="Arial" w:cs="Arial"/>
          <w:b/>
          <w:bCs/>
          <w:i/>
          <w:iCs/>
        </w:rPr>
        <w:br/>
      </w:r>
      <w:r w:rsidR="005B3CF2" w:rsidRPr="00F52EBA">
        <w:rPr>
          <w:rFonts w:ascii="Arial" w:hAnsi="Arial" w:cs="Arial"/>
          <w:b/>
          <w:bCs/>
          <w:i/>
          <w:iCs/>
        </w:rPr>
        <w:br/>
      </w:r>
      <w:r w:rsidR="005B3CF2" w:rsidRPr="00F52EBA">
        <w:rPr>
          <w:rFonts w:ascii="Arial" w:hAnsi="Arial" w:cs="Arial"/>
        </w:rPr>
        <w:t>De acordo com o mesmo documento podemos concluir que:</w:t>
      </w:r>
      <w:r w:rsidR="005B3CF2" w:rsidRPr="00F52EBA">
        <w:rPr>
          <w:rFonts w:ascii="Arial" w:hAnsi="Arial" w:cs="Arial"/>
        </w:rPr>
        <w:br/>
      </w:r>
      <w:r w:rsidR="005B3CF2" w:rsidRPr="00F52EBA">
        <w:rPr>
          <w:rFonts w:ascii="Arial" w:hAnsi="Arial" w:cs="Arial"/>
        </w:rPr>
        <w:br/>
      </w:r>
      <w:r w:rsidR="005B3CF2" w:rsidRPr="00F52EBA">
        <w:rPr>
          <w:rFonts w:ascii="Arial" w:hAnsi="Arial" w:cs="Arial"/>
        </w:rPr>
        <w:t xml:space="preserve">As regras apresentadas são de caráter geral, mas os órgãos públicos devem observar particularidades decorrentes da coexistência de diferentes formas de contratação e regimes previdenciários. Nesses casos, aplicam-se as seguintes diretrizes quanto à obrigatoriedade de envio dos eventos de Saúde e Segurança do Trabalho (SST) ao </w:t>
      </w:r>
      <w:proofErr w:type="spellStart"/>
      <w:r w:rsidR="005B3CF2" w:rsidRPr="00F52EBA">
        <w:rPr>
          <w:rFonts w:ascii="Arial" w:hAnsi="Arial" w:cs="Arial"/>
        </w:rPr>
        <w:t>eSocial</w:t>
      </w:r>
      <w:proofErr w:type="spellEnd"/>
      <w:r w:rsidR="005B3CF2" w:rsidRPr="00F52EBA">
        <w:rPr>
          <w:rFonts w:ascii="Arial" w:hAnsi="Arial" w:cs="Arial"/>
        </w:rPr>
        <w:t>:</w:t>
      </w:r>
    </w:p>
    <w:p w14:paraId="610EF2F1" w14:textId="77777777" w:rsidR="005B3CF2" w:rsidRPr="00F52EBA" w:rsidRDefault="005B3CF2" w:rsidP="005B3CF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52EBA">
        <w:rPr>
          <w:rStyle w:val="Forte"/>
          <w:rFonts w:ascii="Arial" w:hAnsi="Arial" w:cs="Arial"/>
        </w:rPr>
        <w:t>Órgão público com empregados contratados pela CLT (emprego público) vinculados ao RGPS</w:t>
      </w:r>
      <w:r w:rsidRPr="00F52EBA">
        <w:rPr>
          <w:rFonts w:ascii="Arial" w:hAnsi="Arial" w:cs="Arial"/>
        </w:rPr>
        <w:t>: é obrigatório o envio de todos os eventos de SST (S-2210, S-2220 e S-2240).</w:t>
      </w:r>
    </w:p>
    <w:p w14:paraId="158B01C3" w14:textId="77777777" w:rsidR="005B3CF2" w:rsidRPr="00F52EBA" w:rsidRDefault="005B3CF2" w:rsidP="005B3CF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52EBA">
        <w:rPr>
          <w:rStyle w:val="Forte"/>
          <w:rFonts w:ascii="Arial" w:hAnsi="Arial" w:cs="Arial"/>
        </w:rPr>
        <w:t>Órgão público com servidores estatutários vinculados ao RGPS</w:t>
      </w:r>
      <w:r w:rsidRPr="00F52EBA">
        <w:rPr>
          <w:rFonts w:ascii="Arial" w:hAnsi="Arial" w:cs="Arial"/>
        </w:rPr>
        <w:t>: é obrigatório o envio dos eventos S-2210 e S-2240, sendo dispensado o envio do evento S-2220.</w:t>
      </w:r>
    </w:p>
    <w:p w14:paraId="10CF5322" w14:textId="77777777" w:rsidR="005B3CF2" w:rsidRPr="00F52EBA" w:rsidRDefault="005B3CF2" w:rsidP="005B3CF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52EBA">
        <w:rPr>
          <w:rStyle w:val="Forte"/>
          <w:rFonts w:ascii="Arial" w:hAnsi="Arial" w:cs="Arial"/>
        </w:rPr>
        <w:t>Órgão público com RPPS instituído, mas com servidores obrigatoriamente vinculados ao RGPS</w:t>
      </w:r>
      <w:r w:rsidRPr="00F52EBA">
        <w:rPr>
          <w:rFonts w:ascii="Arial" w:hAnsi="Arial" w:cs="Arial"/>
        </w:rPr>
        <w:t>: aplica-se a mesma regra do item anterior (S-2210 e S-2240 obrigatórios, S-2220 dispensado).</w:t>
      </w:r>
    </w:p>
    <w:p w14:paraId="7CB50927" w14:textId="77777777" w:rsidR="005B3CF2" w:rsidRPr="00F52EBA" w:rsidRDefault="005B3CF2" w:rsidP="005B3CF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52EBA">
        <w:rPr>
          <w:rStyle w:val="Forte"/>
          <w:rFonts w:ascii="Arial" w:hAnsi="Arial" w:cs="Arial"/>
        </w:rPr>
        <w:t>Órgão público com servidores estatutários vinculados a RPPS</w:t>
      </w:r>
      <w:r w:rsidRPr="00F52EBA">
        <w:rPr>
          <w:rFonts w:ascii="Arial" w:hAnsi="Arial" w:cs="Arial"/>
        </w:rPr>
        <w:t>: não há obrigatoriedade de envio de eventos de SST.</w:t>
      </w:r>
    </w:p>
    <w:p w14:paraId="482D1A26" w14:textId="77777777" w:rsidR="005B3CF2" w:rsidRPr="00F52EBA" w:rsidRDefault="005B3CF2" w:rsidP="005B3CF2">
      <w:pPr>
        <w:pStyle w:val="NormalWeb"/>
        <w:rPr>
          <w:rFonts w:ascii="Arial" w:hAnsi="Arial" w:cs="Arial"/>
        </w:rPr>
      </w:pPr>
      <w:r w:rsidRPr="00F52EBA">
        <w:rPr>
          <w:rFonts w:ascii="Arial" w:hAnsi="Arial" w:cs="Arial"/>
        </w:rPr>
        <w:t>A obrigatoriedade do envio deve ser avaliada individualmente para cada servidor, conforme seu regime jurídico (celetista ou estatutário) e regime previdenciário (RGPS ou RPPS), e não de forma generalizada para o órgão.</w:t>
      </w:r>
    </w:p>
    <w:p w14:paraId="0550FCC0" w14:textId="77777777" w:rsidR="005B3CF2" w:rsidRPr="00F52EBA" w:rsidRDefault="005B3CF2" w:rsidP="005B3CF2">
      <w:pPr>
        <w:pStyle w:val="NormalWeb"/>
        <w:rPr>
          <w:rFonts w:ascii="Arial" w:hAnsi="Arial" w:cs="Arial"/>
        </w:rPr>
      </w:pPr>
      <w:r w:rsidRPr="00F52EBA">
        <w:rPr>
          <w:rStyle w:val="Forte"/>
          <w:rFonts w:ascii="Arial" w:hAnsi="Arial" w:cs="Arial"/>
        </w:rPr>
        <w:t>Exemplo prático</w:t>
      </w:r>
      <w:r w:rsidRPr="00F52EBA">
        <w:rPr>
          <w:rFonts w:ascii="Arial" w:hAnsi="Arial" w:cs="Arial"/>
        </w:rPr>
        <w:t>: um órgão público com regime estatutário e RPPS possui dois servidores ocupando cargos em comissão, sem vínculo efetivo, e vinculados ao RGPS. Nesse caso, devem ser enviados os eventos S-2210 e S-2240 apenas para esses dois servidores. Para os demais, vinculados ao RPPS, não há exigência de envio dos eventos de SST.</w:t>
      </w:r>
    </w:p>
    <w:p w14:paraId="0EFCF62B" w14:textId="77777777" w:rsidR="005B3CF2" w:rsidRPr="00F52EBA" w:rsidRDefault="005B3CF2" w:rsidP="005B3CF2">
      <w:pPr>
        <w:pStyle w:val="NormalWeb"/>
        <w:rPr>
          <w:rFonts w:ascii="Arial" w:hAnsi="Arial" w:cs="Arial"/>
        </w:rPr>
      </w:pPr>
      <w:r w:rsidRPr="00F52EBA">
        <w:rPr>
          <w:rFonts w:ascii="Arial" w:hAnsi="Arial" w:cs="Arial"/>
        </w:rPr>
        <w:t xml:space="preserve">Essa diferenciação existe porque o PPP (Perfil Profissiográfico Previdenciário) e a CAT (Comunicação de Acidente de Trabalho) — obrigações substituídas pelo </w:t>
      </w:r>
      <w:proofErr w:type="spellStart"/>
      <w:r w:rsidRPr="00F52EBA">
        <w:rPr>
          <w:rFonts w:ascii="Arial" w:hAnsi="Arial" w:cs="Arial"/>
        </w:rPr>
        <w:t>eSocial</w:t>
      </w:r>
      <w:proofErr w:type="spellEnd"/>
      <w:r w:rsidRPr="00F52EBA">
        <w:rPr>
          <w:rFonts w:ascii="Arial" w:hAnsi="Arial" w:cs="Arial"/>
        </w:rPr>
        <w:t xml:space="preserve"> — são aplicáveis exclusivamente a segurados do RGPS.</w:t>
      </w:r>
    </w:p>
    <w:p w14:paraId="3C7D0AF9" w14:textId="3D16ACFA" w:rsidR="00174E5C" w:rsidRPr="00F52EBA" w:rsidRDefault="00174E5C" w:rsidP="00174E5C">
      <w:pPr>
        <w:pStyle w:val="SemEspaamento"/>
        <w:rPr>
          <w:rFonts w:cs="Arial"/>
        </w:rPr>
      </w:pPr>
    </w:p>
    <w:sectPr w:rsidR="00174E5C" w:rsidRPr="00F52E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33B08"/>
    <w:multiLevelType w:val="multilevel"/>
    <w:tmpl w:val="B11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5C"/>
    <w:rsid w:val="00174E5C"/>
    <w:rsid w:val="001F66D6"/>
    <w:rsid w:val="003A2CDD"/>
    <w:rsid w:val="005B3CF2"/>
    <w:rsid w:val="00A37CAC"/>
    <w:rsid w:val="00F5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1836"/>
  <w15:chartTrackingRefBased/>
  <w15:docId w15:val="{B9301A30-9F43-4388-8985-2ECBA965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adrão"/>
    <w:basedOn w:val="Normal"/>
    <w:link w:val="SemEspaamentoChar"/>
    <w:uiPriority w:val="1"/>
    <w:qFormat/>
    <w:rsid w:val="00174E5C"/>
    <w:pPr>
      <w:spacing w:after="0" w:line="240" w:lineRule="auto"/>
    </w:pPr>
    <w:rPr>
      <w:rFonts w:ascii="Arial" w:hAnsi="Arial"/>
      <w:sz w:val="24"/>
    </w:rPr>
  </w:style>
  <w:style w:type="character" w:customStyle="1" w:styleId="SemEspaamentoChar">
    <w:name w:val="Sem Espaçamento Char"/>
    <w:aliases w:val="Padrão Char"/>
    <w:basedOn w:val="Fontepargpadro"/>
    <w:link w:val="SemEspaamento"/>
    <w:uiPriority w:val="1"/>
    <w:rsid w:val="00174E5C"/>
    <w:rPr>
      <w:rFonts w:ascii="Arial" w:hAnsi="Arial"/>
      <w:sz w:val="24"/>
    </w:rPr>
  </w:style>
  <w:style w:type="character" w:styleId="Hyperlink">
    <w:name w:val="Hyperlink"/>
    <w:basedOn w:val="Fontepargpadro"/>
    <w:uiPriority w:val="99"/>
    <w:unhideWhenUsed/>
    <w:rsid w:val="00A37C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7C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37CA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B3C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0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v.br/esocial/pt-br/documentacao-tecnica/leiautes-esocial-v-1.3/tabel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607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2</cp:revision>
  <dcterms:created xsi:type="dcterms:W3CDTF">2025-07-24T15:41:00Z</dcterms:created>
  <dcterms:modified xsi:type="dcterms:W3CDTF">2025-07-24T15:41:00Z</dcterms:modified>
</cp:coreProperties>
</file>