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05F44" w14:textId="5E1216FF" w:rsidR="00F63CF7" w:rsidRPr="00B30FE3" w:rsidRDefault="00B30FE3" w:rsidP="00F63CF7">
      <w:pPr>
        <w:rPr>
          <w:color w:val="00B0F0"/>
        </w:rPr>
      </w:pPr>
      <w:r w:rsidRPr="00B30FE3">
        <w:rPr>
          <w:b/>
          <w:bCs/>
          <w:color w:val="000000" w:themeColor="text1"/>
          <w:sz w:val="32"/>
          <w:szCs w:val="32"/>
        </w:rPr>
        <w:t>PGR</w:t>
      </w:r>
      <w:r>
        <w:rPr>
          <w:color w:val="000000" w:themeColor="text1"/>
        </w:rPr>
        <w:br/>
      </w:r>
      <w:r w:rsidR="00F63CF7">
        <w:br/>
      </w:r>
      <w:r w:rsidR="00F63CF7" w:rsidRPr="00F63CF7">
        <w:rPr>
          <w:b/>
          <w:bCs/>
          <w:color w:val="000000" w:themeColor="text1"/>
        </w:rPr>
        <w:t>O que é o PGR (Programa de Gerenciamento de Riscos)</w:t>
      </w:r>
    </w:p>
    <w:p w14:paraId="009BEC2F" w14:textId="77777777" w:rsidR="00D1289C" w:rsidRDefault="00F63CF7" w:rsidP="00F63CF7">
      <w:r>
        <w:t>O PGR é a formalização do Gerenciamento de Riscos Ocupacionais (GRO) por meio de documentos (físicos ou digitais), com objetivo de promover condições seguras e saudáveis no ambiente de trabalho</w:t>
      </w:r>
    </w:p>
    <w:p w14:paraId="78C071DB" w14:textId="77777777" w:rsidR="00D1289C" w:rsidRPr="009656DD" w:rsidRDefault="00D1289C" w:rsidP="00D1289C">
      <w:pPr>
        <w:pStyle w:val="Ttulo3"/>
        <w:spacing w:line="276" w:lineRule="auto"/>
        <w:rPr>
          <w:sz w:val="24"/>
          <w:szCs w:val="24"/>
        </w:rPr>
      </w:pPr>
      <w:r w:rsidRPr="009656DD">
        <w:rPr>
          <w:sz w:val="24"/>
          <w:szCs w:val="24"/>
        </w:rPr>
        <w:t>Quem deve elaborar o PGR?</w:t>
      </w:r>
    </w:p>
    <w:p w14:paraId="65D29DBE" w14:textId="77B9EECD" w:rsidR="00F63CF7" w:rsidRPr="00D1289C" w:rsidRDefault="00D1289C" w:rsidP="00D1289C">
      <w:pPr>
        <w:spacing w:line="276" w:lineRule="auto"/>
        <w:rPr>
          <w:rFonts w:ascii="Times New Roman" w:hAnsi="Times New Roman" w:cs="Times New Roman"/>
        </w:rPr>
      </w:pPr>
      <w:r w:rsidRPr="009656DD">
        <w:rPr>
          <w:rFonts w:ascii="Times New Roman" w:hAnsi="Times New Roman" w:cs="Times New Roman"/>
        </w:rPr>
        <w:t>O PGR é obrigatório para todos os empregadores que tenham trabalhadores registrados sob a CLT. Ou seja, todas as empresas que contratam funcionários devem elaborar o PGR.</w:t>
      </w:r>
      <w:r w:rsidR="00F63CF7">
        <w:br/>
      </w:r>
      <w:r w:rsidR="00F63CF7">
        <w:br/>
      </w:r>
      <w:r w:rsidR="00F63CF7" w:rsidRPr="00B30FE3">
        <w:rPr>
          <w:b/>
          <w:bCs/>
        </w:rPr>
        <w:t>Legislação e histórico</w:t>
      </w:r>
      <w:r w:rsidR="00F63CF7">
        <w:br/>
        <w:t>O PGR tornou-se obrigatório em 3 de janeiro de 2022, com a entrada em vigor da nova redação da NR</w:t>
      </w:r>
      <w:r w:rsidR="00F63CF7">
        <w:rPr>
          <w:rFonts w:ascii="Cambria Math" w:hAnsi="Cambria Math" w:cs="Cambria Math"/>
        </w:rPr>
        <w:t>‑</w:t>
      </w:r>
      <w:r w:rsidR="00F63CF7">
        <w:t>01 (Disposi</w:t>
      </w:r>
      <w:r w:rsidR="00F63CF7">
        <w:rPr>
          <w:rFonts w:ascii="Calibri" w:hAnsi="Calibri" w:cs="Calibri"/>
        </w:rPr>
        <w:t>çõ</w:t>
      </w:r>
      <w:r w:rsidR="00F63CF7">
        <w:t xml:space="preserve">es Gerais e Gerenciamento de Riscos Ocupacionais) </w:t>
      </w:r>
    </w:p>
    <w:p w14:paraId="7A1DADC7" w14:textId="56D12359" w:rsidR="00F63CF7" w:rsidRDefault="00F63CF7" w:rsidP="00F63CF7">
      <w:r>
        <w:t>Substituiu o antigo PPRA (Programa de Prevenção de Riscos Ambientais) — este vigorava desde a NR</w:t>
      </w:r>
      <w:r>
        <w:rPr>
          <w:rFonts w:ascii="Cambria Math" w:hAnsi="Cambria Math" w:cs="Cambria Math"/>
        </w:rPr>
        <w:t>‑</w:t>
      </w:r>
      <w:r>
        <w:t>09 de 1994; o PGR amplia o escopo a riscos ergon</w:t>
      </w:r>
      <w:r>
        <w:rPr>
          <w:rFonts w:ascii="Calibri" w:hAnsi="Calibri" w:cs="Calibri"/>
        </w:rPr>
        <w:t>ô</w:t>
      </w:r>
      <w:r>
        <w:t>micos e de acidentes</w:t>
      </w:r>
      <w:r>
        <w:br/>
      </w:r>
      <w:r>
        <w:br/>
      </w:r>
      <w:r w:rsidRPr="00F63CF7">
        <w:rPr>
          <w:b/>
          <w:bCs/>
        </w:rPr>
        <w:t>Estrutura mínima do PGR</w:t>
      </w:r>
    </w:p>
    <w:p w14:paraId="2FF46EED" w14:textId="304601FF" w:rsidR="00F63CF7" w:rsidRDefault="00F63CF7" w:rsidP="00F63CF7">
      <w:r>
        <w:t>A NR</w:t>
      </w:r>
      <w:r>
        <w:rPr>
          <w:rFonts w:ascii="Cambria Math" w:hAnsi="Cambria Math" w:cs="Cambria Math"/>
        </w:rPr>
        <w:t>‑</w:t>
      </w:r>
      <w:r>
        <w:t>01 determina que o PGR deve conter, no m</w:t>
      </w:r>
      <w:r>
        <w:rPr>
          <w:rFonts w:ascii="Calibri" w:hAnsi="Calibri" w:cs="Calibri"/>
        </w:rPr>
        <w:t>í</w:t>
      </w:r>
      <w:r>
        <w:t>nimo:</w:t>
      </w:r>
    </w:p>
    <w:p w14:paraId="23F99D3D" w14:textId="22578CF9" w:rsidR="00F63CF7" w:rsidRDefault="00F63CF7" w:rsidP="00F63CF7">
      <w:r>
        <w:t xml:space="preserve">Inventário de Riscos Ocupacionais – identificação e avaliação dos perigos; inclui caracterização dos ambientes e atividades, descrição de lesões potenciais, grupos expostos, exposições a agentes físicos/químicos/biológicos, e critérios de avaliação de riscos; registro de histórico por pelo menos 20 anos </w:t>
      </w:r>
    </w:p>
    <w:p w14:paraId="3A11F970" w14:textId="77777777" w:rsidR="00F63CF7" w:rsidRDefault="00F63CF7" w:rsidP="00F63CF7">
      <w:r>
        <w:t xml:space="preserve">Plano de Ação – definição das medidas de prevenção, com cronograma, acompanhamento e avaliação de resultados </w:t>
      </w:r>
    </w:p>
    <w:p w14:paraId="2222B376" w14:textId="0DDD3278" w:rsidR="00A833C9" w:rsidRDefault="00F63CF7" w:rsidP="00A833C9">
      <w:r>
        <w:t>Além disso, o PGR deve refletir procedimentos de resposta a emergências e integrar ações como análises de acidentes, controle médico (PCMSO), entre outros</w:t>
      </w:r>
      <w:r w:rsidR="00C63977">
        <w:t>.</w:t>
      </w:r>
    </w:p>
    <w:p w14:paraId="3FFE1879" w14:textId="10F401D8" w:rsidR="00C63977" w:rsidRDefault="00F63CF7" w:rsidP="00C63977">
      <w:r>
        <w:br/>
      </w:r>
      <w:r w:rsidR="00C63977" w:rsidRPr="00C63977">
        <w:rPr>
          <w:b/>
          <w:bCs/>
        </w:rPr>
        <w:t>Tipos de levantamento: etapas do GRO aplicados no PGR</w:t>
      </w:r>
    </w:p>
    <w:p w14:paraId="750FDC1C" w14:textId="4204CAD8" w:rsidR="00C63977" w:rsidRDefault="00C63977" w:rsidP="00C63977">
      <w:r>
        <w:t xml:space="preserve">Levantamento Preliminar de Perigos (LPP) – fase inicial do GRO para identificar perigos que podem ser eliminados; caso elimináveis, não há necessidade de seguir com avaliação de risco </w:t>
      </w:r>
    </w:p>
    <w:p w14:paraId="4C613352" w14:textId="77777777" w:rsidR="00D1289C" w:rsidRDefault="00C63977" w:rsidP="00C63977">
      <w:r>
        <w:t>Identificação de Perigos e Avaliação de Riscos – consolidação no Inventário de Riscos, com análise qualitativa e/ou quantitativa, e classificação dos riscos conforme probabilidade e severidade.</w:t>
      </w:r>
    </w:p>
    <w:p w14:paraId="173B945C" w14:textId="7AE08EB0" w:rsidR="00C63977" w:rsidRDefault="00D1289C" w:rsidP="00C63977">
      <w:r w:rsidRPr="00D1289C">
        <w:rPr>
          <w:color w:val="FF0000"/>
        </w:rPr>
        <w:t>GHE / Setor e Função??</w:t>
      </w:r>
      <w:r w:rsidR="00C63977">
        <w:br/>
      </w:r>
      <w:r w:rsidR="00C63977">
        <w:br/>
      </w:r>
      <w:r w:rsidR="00C63977" w:rsidRPr="00C63977">
        <w:rPr>
          <w:b/>
          <w:bCs/>
        </w:rPr>
        <w:t>Prazo de validade e revisões</w:t>
      </w:r>
    </w:p>
    <w:p w14:paraId="6A590906" w14:textId="484E5348" w:rsidR="00C63977" w:rsidRDefault="00C63977" w:rsidP="00C63977">
      <w:r>
        <w:t xml:space="preserve">A </w:t>
      </w:r>
      <w:r w:rsidRPr="00C63977">
        <w:rPr>
          <w:b/>
          <w:bCs/>
          <w:color w:val="000000" w:themeColor="text1"/>
        </w:rPr>
        <w:t>NR</w:t>
      </w:r>
      <w:r w:rsidRPr="00C63977">
        <w:rPr>
          <w:rFonts w:ascii="Cambria Math" w:hAnsi="Cambria Math" w:cs="Cambria Math"/>
          <w:b/>
          <w:bCs/>
          <w:color w:val="000000" w:themeColor="text1"/>
        </w:rPr>
        <w:t>‑</w:t>
      </w:r>
      <w:r w:rsidRPr="00C63977">
        <w:rPr>
          <w:b/>
          <w:bCs/>
          <w:color w:val="000000" w:themeColor="text1"/>
        </w:rPr>
        <w:t>01</w:t>
      </w:r>
      <w:r w:rsidRPr="00C63977">
        <w:rPr>
          <w:color w:val="000000" w:themeColor="text1"/>
        </w:rPr>
        <w:t xml:space="preserve"> </w:t>
      </w:r>
      <w:r>
        <w:t>n</w:t>
      </w:r>
      <w:r>
        <w:rPr>
          <w:rFonts w:ascii="Calibri" w:hAnsi="Calibri" w:cs="Calibri"/>
        </w:rPr>
        <w:t>ã</w:t>
      </w:r>
      <w:r>
        <w:t xml:space="preserve">o estabelece um </w:t>
      </w:r>
      <w:r>
        <w:rPr>
          <w:rFonts w:ascii="Calibri" w:hAnsi="Calibri" w:cs="Calibri"/>
        </w:rPr>
        <w:t>“</w:t>
      </w:r>
      <w:r>
        <w:t>prazo de validade</w:t>
      </w:r>
      <w:r>
        <w:rPr>
          <w:rFonts w:ascii="Calibri" w:hAnsi="Calibri" w:cs="Calibri"/>
        </w:rPr>
        <w:t>”</w:t>
      </w:r>
      <w:r>
        <w:t xml:space="preserve"> fixo para o PGR, mas requer que a </w:t>
      </w:r>
      <w:r w:rsidRPr="00C63977">
        <w:rPr>
          <w:b/>
          <w:bCs/>
        </w:rPr>
        <w:t>avalia</w:t>
      </w:r>
      <w:r w:rsidRPr="00C63977">
        <w:rPr>
          <w:rFonts w:ascii="Calibri" w:hAnsi="Calibri" w:cs="Calibri"/>
          <w:b/>
          <w:bCs/>
        </w:rPr>
        <w:t>çã</w:t>
      </w:r>
      <w:r w:rsidRPr="00C63977">
        <w:rPr>
          <w:b/>
          <w:bCs/>
        </w:rPr>
        <w:t>o de riscos seja revista, no m</w:t>
      </w:r>
      <w:r w:rsidRPr="00C63977">
        <w:rPr>
          <w:rFonts w:ascii="Calibri" w:hAnsi="Calibri" w:cs="Calibri"/>
          <w:b/>
          <w:bCs/>
        </w:rPr>
        <w:t>á</w:t>
      </w:r>
      <w:r w:rsidRPr="00C63977">
        <w:rPr>
          <w:b/>
          <w:bCs/>
        </w:rPr>
        <w:t>ximo, a cada 2 anos</w:t>
      </w:r>
      <w:r>
        <w:t xml:space="preserve"> </w:t>
      </w:r>
    </w:p>
    <w:p w14:paraId="11E8286F" w14:textId="7FDDCF0A" w:rsidR="00C63977" w:rsidRDefault="00C63977" w:rsidP="00C63977">
      <w:r>
        <w:t xml:space="preserve">Empresas com certificações em SST podem estender esse prazo para </w:t>
      </w:r>
      <w:r w:rsidRPr="00C63977">
        <w:rPr>
          <w:b/>
          <w:bCs/>
        </w:rPr>
        <w:t xml:space="preserve">até 3 anos </w:t>
      </w:r>
    </w:p>
    <w:p w14:paraId="1C7A508F" w14:textId="5DD48067" w:rsidR="00C63977" w:rsidRDefault="00C63977" w:rsidP="00C63977">
      <w:r>
        <w:lastRenderedPageBreak/>
        <w:br/>
        <w:t>• Revisões também são obrigatórias sempre que ocorrer:</w:t>
      </w:r>
    </w:p>
    <w:p w14:paraId="6555FCA8" w14:textId="6784699C" w:rsidR="00C63977" w:rsidRDefault="00C63977" w:rsidP="00C63977">
      <w:r>
        <w:t>- Implementação de medidas de prevenção (para avaliar riscos residuais);</w:t>
      </w:r>
    </w:p>
    <w:p w14:paraId="310611EB" w14:textId="7E88F044" w:rsidR="00C63977" w:rsidRDefault="00C63977" w:rsidP="00C63977">
      <w:r>
        <w:t>- Mudanças nos processos, tecnologias, organização do trabalho, novos riscos;</w:t>
      </w:r>
    </w:p>
    <w:p w14:paraId="464D24AF" w14:textId="0DC1C9AB" w:rsidR="00C63977" w:rsidRDefault="00C63977" w:rsidP="00C63977">
      <w:r>
        <w:t>- Ocorrência de acidentes ou doenças;</w:t>
      </w:r>
    </w:p>
    <w:p w14:paraId="61A82D21" w14:textId="77777777" w:rsidR="00A833C9" w:rsidRPr="009656DD" w:rsidRDefault="00C63977" w:rsidP="00A833C9">
      <w:pPr>
        <w:pStyle w:val="Ttulo3"/>
        <w:spacing w:line="276" w:lineRule="auto"/>
        <w:rPr>
          <w:sz w:val="24"/>
          <w:szCs w:val="24"/>
        </w:rPr>
      </w:pPr>
      <w:r>
        <w:t xml:space="preserve">- </w:t>
      </w:r>
      <w:r w:rsidRPr="00B30FE3">
        <w:rPr>
          <w:b w:val="0"/>
          <w:bCs w:val="0"/>
          <w:sz w:val="22"/>
          <w:szCs w:val="22"/>
        </w:rPr>
        <w:t>Mudanças legais aplicáveis</w:t>
      </w:r>
      <w:r w:rsidR="00F63CF7">
        <w:br/>
      </w:r>
      <w:r w:rsidR="00F63CF7">
        <w:br/>
      </w:r>
      <w:r w:rsidR="00F63CF7">
        <w:br/>
      </w:r>
      <w:r w:rsidR="00A833C9" w:rsidRPr="009656DD">
        <w:rPr>
          <w:sz w:val="24"/>
          <w:szCs w:val="24"/>
        </w:rPr>
        <w:t>Quem fica dispensado de elaborar o PGR?</w:t>
      </w:r>
    </w:p>
    <w:p w14:paraId="0BD83AB6" w14:textId="77777777" w:rsidR="00A833C9" w:rsidRPr="009656DD" w:rsidRDefault="00A833C9" w:rsidP="00A833C9">
      <w:pPr>
        <w:pStyle w:val="NormalWeb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</w:t>
      </w:r>
      <w:r w:rsidRPr="009656DD">
        <w:rPr>
          <w:sz w:val="22"/>
          <w:szCs w:val="22"/>
        </w:rPr>
        <w:t xml:space="preserve"> </w:t>
      </w:r>
      <w:r w:rsidRPr="009656DD">
        <w:rPr>
          <w:rStyle w:val="Forte"/>
          <w:sz w:val="22"/>
          <w:szCs w:val="22"/>
        </w:rPr>
        <w:t>NR-01</w:t>
      </w:r>
      <w:r w:rsidRPr="009656DD">
        <w:rPr>
          <w:sz w:val="22"/>
          <w:szCs w:val="22"/>
        </w:rPr>
        <w:t xml:space="preserve"> prevê algumas exceções, onde a elaboração do PGR não é obrigatória:</w:t>
      </w:r>
    </w:p>
    <w:p w14:paraId="015104EE" w14:textId="77777777" w:rsidR="00A833C9" w:rsidRPr="009656DD" w:rsidRDefault="00A833C9" w:rsidP="00A833C9">
      <w:pPr>
        <w:pStyle w:val="NormalWeb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9656DD">
        <w:rPr>
          <w:rStyle w:val="Forte"/>
          <w:sz w:val="22"/>
          <w:szCs w:val="22"/>
        </w:rPr>
        <w:t>Microempreendedor Individual (MEI)</w:t>
      </w:r>
      <w:r w:rsidRPr="009656DD">
        <w:rPr>
          <w:sz w:val="22"/>
          <w:szCs w:val="22"/>
        </w:rPr>
        <w:t xml:space="preserve">: Está </w:t>
      </w:r>
      <w:r w:rsidRPr="009656DD">
        <w:rPr>
          <w:rStyle w:val="Forte"/>
          <w:sz w:val="22"/>
          <w:szCs w:val="22"/>
          <w:u w:val="single"/>
        </w:rPr>
        <w:t>dispensado</w:t>
      </w:r>
      <w:r w:rsidRPr="009656DD">
        <w:rPr>
          <w:sz w:val="22"/>
          <w:szCs w:val="22"/>
        </w:rPr>
        <w:t xml:space="preserve"> de elaborar o PGR.</w:t>
      </w:r>
    </w:p>
    <w:p w14:paraId="588A634C" w14:textId="2D78DE46" w:rsidR="00C63977" w:rsidRPr="00A833C9" w:rsidRDefault="00A833C9" w:rsidP="00C63977">
      <w:pPr>
        <w:pStyle w:val="NormalWeb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9656DD">
        <w:rPr>
          <w:rStyle w:val="Forte"/>
          <w:sz w:val="22"/>
          <w:szCs w:val="22"/>
        </w:rPr>
        <w:t>Microempresas e Empresas de Pequeno Porte (graus de risco 1 e 2)</w:t>
      </w:r>
      <w:r w:rsidRPr="009656DD">
        <w:rPr>
          <w:sz w:val="22"/>
          <w:szCs w:val="22"/>
        </w:rPr>
        <w:t xml:space="preserve">: Se, no levantamento preliminar de riscos, não forem identificados perigos com agentes físicos, químicos ou biológicos, e a empresa declarar as informações digitalmente conforme a NR9, ela também fica </w:t>
      </w:r>
      <w:r w:rsidRPr="009656DD">
        <w:rPr>
          <w:rStyle w:val="Forte"/>
          <w:sz w:val="22"/>
          <w:szCs w:val="22"/>
          <w:u w:val="single"/>
        </w:rPr>
        <w:t>dispensada</w:t>
      </w:r>
      <w:r w:rsidRPr="009656DD">
        <w:rPr>
          <w:sz w:val="22"/>
          <w:szCs w:val="22"/>
        </w:rPr>
        <w:t xml:space="preserve"> de elaborar o PGR.</w:t>
      </w:r>
      <w:r w:rsidR="00F63CF7">
        <w:br/>
      </w:r>
      <w:r w:rsidR="00F63CF7">
        <w:br/>
      </w:r>
      <w:r w:rsidR="00F63CF7">
        <w:br/>
      </w:r>
      <w:r w:rsidR="00C63977" w:rsidRPr="00C63977">
        <w:t>Resumo Sintético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377"/>
      </w:tblGrid>
      <w:tr w:rsidR="00C63977" w:rsidRPr="00C63977" w14:paraId="2CCC1FBF" w14:textId="77777777" w:rsidTr="00C63977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0105185" w14:textId="77777777" w:rsidR="00C63977" w:rsidRPr="00C63977" w:rsidRDefault="00C63977" w:rsidP="00C63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Aspeto</w:t>
            </w:r>
          </w:p>
        </w:tc>
        <w:tc>
          <w:tcPr>
            <w:tcW w:w="6332" w:type="dxa"/>
            <w:vAlign w:val="center"/>
            <w:hideMark/>
          </w:tcPr>
          <w:p w14:paraId="1D143F46" w14:textId="77777777" w:rsidR="00C63977" w:rsidRPr="00C63977" w:rsidRDefault="00C63977" w:rsidP="00C63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Detalhes</w:t>
            </w:r>
          </w:p>
        </w:tc>
      </w:tr>
      <w:tr w:rsidR="00C63977" w:rsidRPr="00C63977" w14:paraId="77085F2A" w14:textId="77777777" w:rsidTr="00C6397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DEAA885" w14:textId="4437DB8D" w:rsidR="00C63977" w:rsidRPr="00C63977" w:rsidRDefault="00C63977" w:rsidP="00C6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Obrigatoriedade</w:t>
            </w:r>
          </w:p>
        </w:tc>
        <w:tc>
          <w:tcPr>
            <w:tcW w:w="6332" w:type="dxa"/>
            <w:vAlign w:val="center"/>
            <w:hideMark/>
          </w:tcPr>
          <w:p w14:paraId="1E4FD0C2" w14:textId="77777777" w:rsidR="00C63977" w:rsidRPr="00C63977" w:rsidRDefault="00C63977" w:rsidP="00C6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Empresas com empregados CLT — salvo MEI, ME e EPP em circunstâncias específicas.</w:t>
            </w:r>
          </w:p>
        </w:tc>
      </w:tr>
      <w:tr w:rsidR="00C63977" w:rsidRPr="00C63977" w14:paraId="0A46F22E" w14:textId="77777777" w:rsidTr="00C6397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737D369" w14:textId="77777777" w:rsidR="00C63977" w:rsidRPr="00C63977" w:rsidRDefault="00C63977" w:rsidP="00C6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Estrutura mínima</w:t>
            </w:r>
          </w:p>
        </w:tc>
        <w:tc>
          <w:tcPr>
            <w:tcW w:w="6332" w:type="dxa"/>
            <w:vAlign w:val="center"/>
            <w:hideMark/>
          </w:tcPr>
          <w:p w14:paraId="53B60E14" w14:textId="77777777" w:rsidR="00C63977" w:rsidRPr="00C63977" w:rsidRDefault="00C63977" w:rsidP="00C6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Inventário de Riscos + Plano de Ação.</w:t>
            </w:r>
          </w:p>
        </w:tc>
      </w:tr>
      <w:tr w:rsidR="00C63977" w:rsidRPr="00C63977" w14:paraId="52D6D771" w14:textId="77777777" w:rsidTr="00C6397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EC58B2D" w14:textId="77777777" w:rsidR="00C63977" w:rsidRPr="00C63977" w:rsidRDefault="00C63977" w:rsidP="00C6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Escopo ampliado</w:t>
            </w:r>
          </w:p>
        </w:tc>
        <w:tc>
          <w:tcPr>
            <w:tcW w:w="6332" w:type="dxa"/>
            <w:vAlign w:val="center"/>
            <w:hideMark/>
          </w:tcPr>
          <w:p w14:paraId="5B792D97" w14:textId="77777777" w:rsidR="00C63977" w:rsidRPr="00C63977" w:rsidRDefault="00C63977" w:rsidP="00C6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Riscos ambientais, ergonômicos e de acidentes — substitui o PPRA.</w:t>
            </w:r>
          </w:p>
        </w:tc>
      </w:tr>
      <w:tr w:rsidR="00C63977" w:rsidRPr="00C63977" w14:paraId="42601837" w14:textId="77777777" w:rsidTr="00C6397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713DEDF" w14:textId="77777777" w:rsidR="00C63977" w:rsidRPr="00C63977" w:rsidRDefault="00C63977" w:rsidP="00C6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Revisão periódica</w:t>
            </w:r>
          </w:p>
        </w:tc>
        <w:tc>
          <w:tcPr>
            <w:tcW w:w="6332" w:type="dxa"/>
            <w:vAlign w:val="center"/>
            <w:hideMark/>
          </w:tcPr>
          <w:p w14:paraId="7059DC2A" w14:textId="77777777" w:rsidR="00C63977" w:rsidRPr="00C63977" w:rsidRDefault="00C63977" w:rsidP="00C6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 de riscos deve ser revista a cada 2 anos (ou até 3 com certificação SST) e sempre após alterações relevantes.</w:t>
            </w:r>
          </w:p>
        </w:tc>
      </w:tr>
      <w:tr w:rsidR="00C63977" w:rsidRPr="00C63977" w14:paraId="08E2B049" w14:textId="77777777" w:rsidTr="00C63977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B8DD19D" w14:textId="77777777" w:rsidR="00C63977" w:rsidRPr="00C63977" w:rsidRDefault="00C63977" w:rsidP="00C6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Benefícios</w:t>
            </w:r>
          </w:p>
        </w:tc>
        <w:tc>
          <w:tcPr>
            <w:tcW w:w="6332" w:type="dxa"/>
            <w:vAlign w:val="center"/>
            <w:hideMark/>
          </w:tcPr>
          <w:p w14:paraId="0AAF79DC" w14:textId="77777777" w:rsidR="00C63977" w:rsidRPr="00C63977" w:rsidRDefault="00C63977" w:rsidP="00C63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639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Redução de acidentes, melhor clima organizacional, conformidade legal, produtividade.</w:t>
            </w:r>
          </w:p>
        </w:tc>
      </w:tr>
    </w:tbl>
    <w:p w14:paraId="23AD985E" w14:textId="3180704C" w:rsidR="00882E0B" w:rsidRDefault="00F63CF7" w:rsidP="00C6397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882E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A13ADA"/>
    <w:multiLevelType w:val="multilevel"/>
    <w:tmpl w:val="F14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03"/>
    <w:rsid w:val="00882E0B"/>
    <w:rsid w:val="00A833C9"/>
    <w:rsid w:val="00B30FE3"/>
    <w:rsid w:val="00C63977"/>
    <w:rsid w:val="00D1289C"/>
    <w:rsid w:val="00EB7D03"/>
    <w:rsid w:val="00F6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01E74"/>
  <w15:chartTrackingRefBased/>
  <w15:docId w15:val="{58DE53BE-951A-4F60-A662-1CE6E7D4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D03"/>
  </w:style>
  <w:style w:type="paragraph" w:styleId="Ttulo3">
    <w:name w:val="heading 3"/>
    <w:basedOn w:val="Normal"/>
    <w:link w:val="Ttulo3Char"/>
    <w:uiPriority w:val="9"/>
    <w:qFormat/>
    <w:rsid w:val="00C63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6397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63977"/>
    <w:rPr>
      <w:b/>
      <w:bCs/>
    </w:rPr>
  </w:style>
  <w:style w:type="paragraph" w:styleId="NormalWeb">
    <w:name w:val="Normal (Web)"/>
    <w:basedOn w:val="Normal"/>
    <w:uiPriority w:val="99"/>
    <w:unhideWhenUsed/>
    <w:rsid w:val="00A83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7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6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536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3</cp:revision>
  <dcterms:created xsi:type="dcterms:W3CDTF">2025-08-07T17:19:00Z</dcterms:created>
  <dcterms:modified xsi:type="dcterms:W3CDTF">2025-08-12T13:02:00Z</dcterms:modified>
</cp:coreProperties>
</file>