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H. Matriz para el levantamiento de antecedentes </w:t>
      </w:r>
    </w:p>
    <w:p w:rsidR="00000000" w:rsidDel="00000000" w:rsidP="00000000" w:rsidRDefault="00000000" w:rsidRPr="00000000" w14:paraId="00000002">
      <w:pPr>
        <w:spacing w:after="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t xml:space="preserve">Los antecedentes son la revisión de las investigaciones previas que de manera directa o indirecta abordan el tema de investigación</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Fonts w:ascii="Helvetica Neue" w:cs="Helvetica Neue" w:eastAsia="Helvetica Neue" w:hAnsi="Helvetica Neue"/>
          <w:color w:val="777777"/>
          <w:sz w:val="21"/>
          <w:szCs w:val="21"/>
          <w:highlight w:val="white"/>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Elaborando cada uno de los campos de esta matriz, el equipo de proyecto de aula podrá revisar la información encontrada, facilitando el análisis y relación de los datos encontrados con la problemática priorizada. </w:t>
      </w:r>
    </w:p>
    <w:p w:rsidR="00000000" w:rsidDel="00000000" w:rsidP="00000000" w:rsidRDefault="00000000" w:rsidRPr="00000000" w14:paraId="00000006">
      <w:pPr>
        <w:spacing w:after="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Para Tercer semestre el grupo deberá realizar seis búsquedas de antecedentes relacionados con su proyecto. El rastreo puede contener artículos de nivel internacional, nacional y local (En este apartado, usted puede continuar con los antecedentes registrados en segundo semestre y realizar las nuevas búsquedas con las características actuales de su proyecto).</w:t>
      </w:r>
    </w:p>
    <w:p w:rsidR="00000000" w:rsidDel="00000000" w:rsidP="00000000" w:rsidRDefault="00000000" w:rsidRPr="00000000" w14:paraId="00000008">
      <w:pPr>
        <w:spacing w:after="0" w:line="240" w:lineRule="auto"/>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2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59"/>
        <w:gridCol w:w="6269"/>
        <w:tblGridChange w:id="0">
          <w:tblGrid>
            <w:gridCol w:w="2559"/>
            <w:gridCol w:w="6269"/>
          </w:tblGrid>
        </w:tblGridChange>
      </w:tblGrid>
      <w:tr>
        <w:trPr>
          <w:cantSplit w:val="0"/>
          <w:trHeight w:val="1178.90625" w:hRule="atLeast"/>
          <w:tblHeader w:val="0"/>
        </w:trPr>
        <w:tc>
          <w:tcPr/>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los integrantes del equipo de Proyecto de Aula</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José Castillo Castro.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Yublian David Verbel Torres.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Keyner Alfonso Reyes Tejedor.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David Mendoza Lora.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del Documento </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papel de las herramientas digitales en la gestión de enfermedades crónicas.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Autor(es)</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Jones, B., &amp; Thomas, 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Referencia Bibliográfica (Icontec)</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Jones, B., &amp; Thomas, C. (2018). El papel de las herramientas digitales en la gestión de enfermedades crónicas. Revista de informática en salud, 24(3), 186-192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Palabras Claves del artículo</w:t>
            </w:r>
            <w:r w:rsidDel="00000000" w:rsidR="00000000" w:rsidRPr="00000000">
              <w:rPr>
                <w:rtl w:val="0"/>
              </w:rPr>
            </w:r>
          </w:p>
        </w:tc>
        <w:tc>
          <w:tcPr/>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digitales.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enfermedades crónicas.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Tecnología en salud.</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Aplicaciones móviles.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Base de Datos empleada</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Relación entre aspectos claves del documento y las asignaturas vistas en el semestre.</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II:</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herramientas digitales para la gestión de enfermedades crónicas requiere de habilidades avanzadas en programación, incluyendo el manejo de bases de datos, interfaces de usuario y la integración de dispositivos externos. Los conceptos y técnicas aprendidos en Programación II pueden ser directamente aplicados al diseño y desarrollo de la aplicación, enfocándose en la creación de una plataforma robusta, intuitiva y escalable.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Estadística: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interpretación de los datos recopilados a través de la aplicación (por ejemplo, patrones de actividad física, seguimiento de la dieta, control de la medicación, etc.) puede beneficiarse enormemente de los métodos estadísticos. El análisis estadístico permitirá identificar tendencias, evaluar la efectividad de las intervenciones propuestas y personalizar las recomendaciones para los usuarios. La estadística proporciona las herramientas necesarias para validar científicamente los resultados obtenidos y optimizar las funcionalidades de la app.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Cálculo Integral: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vínculo puede no ser tan directo como con otras asignaturas, el Cálculo Integral puede aplicarse en la modelización de patrones de cambio en el estado de salud de los usuarios a lo largo del tiempo, como las variaciones en niveles de glucosa, presión arterial o peso. Estas aplicaciones matemáticas avanzadas pueden mejorar los algoritmos de predicción de la aplicación, contribuyendo a una personalización más precisa de las intervenciones de salud.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Seminario Investigativo: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asignatura complementa el proyecto al proporcionar las bases metodológicas para realizar una investigación rigurosa sobre la eficacia de las herramientas digitales en la gestión de enfermedades crónicas. Los conocimientos adquiridos en metodología de la investigación facilitan la correcta formulación de objetivos, diseño de estudios para recoger y analizar datos, y la redacción de informes científicos que validen la aplicación desarrollada.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Física Eléctrica: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comprensión de los principios de la física eléctrica es esencial para el diseño e integración de dispositivos de medición (como glucómetros, tensiómetros, o wearables para monitorizar la actividad física) con la aplicación. Este conocimiento permite a los desarrolladores entender cómo estos dispositivos capturan, procesan y transmiten datos de salud, asegurando una integración eficaz y precisa con la plataforma de gestión de enfermedades crónicas.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Observaciones sobre la utilidad del documento en su Proyecto de Aula</w:t>
            </w:r>
            <w:r w:rsidDel="00000000" w:rsidR="00000000" w:rsidRPr="00000000">
              <w:rPr>
                <w:rtl w:val="0"/>
              </w:rPr>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es extremadamente relevante para nuestro proyecto de aula, "Desarrollo de un sistema de salud y bienestar para personas con enfermedades crónicas", ya que ofrece insights sobre cómo las aplicaciones y las herramientas digitales pueden ser diseñadas e implementadas para mejorar la gestión de enfermedades crónicas. Además, proporciona evidencia sobre la efectividad de estas tecnologías en el ámbito de la salud, lo cual puede servir de fundamentación para justificar el desarrollo de nuestro proyecto. Los ejemplos específicos y las estrategias discutidas pueden ser adaptadas para mejorar las características de nuestra aplicación en desarrollo, asegurando que cumpla de manera efectiva con las necesidades de nuestros usuarios.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Recuerda que esta matriz es un ejemplo basado en la información proporcionada y que, para llenarla con precisión, será necesario analizar en detalle el artículo mencionado y adaptar los contenidos a las especificidades de tu proyecto y los requisitos de tu institución educativa.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2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59"/>
        <w:gridCol w:w="6269"/>
        <w:tblGridChange w:id="0">
          <w:tblGrid>
            <w:gridCol w:w="2559"/>
            <w:gridCol w:w="6269"/>
          </w:tblGrid>
        </w:tblGridChange>
      </w:tblGrid>
      <w:tr>
        <w:trPr>
          <w:cantSplit w:val="0"/>
          <w:trHeight w:val="1178.90625" w:hRule="atLeast"/>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los integrantes del equipo de Proyecto de Aula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José Castillo Castro.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Yublian David Verbel Torres.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Keyner Alfonso Reyes Tejedor.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David Mendoza Lora.</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Documento </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papel de las herramientas digitales en la gestión de enfermedades crónicas.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Jones, B., &amp; Thomas, C.</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Bibliográfica (Icontec)</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Jones, B., &amp; Thomas, C. (2018). El papel de las herramientas digitales en la gestión de enfermedades crónicas. Revista de informática en salud, 24(3), 186-192</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Claves del artículo</w:t>
            </w:r>
          </w:p>
        </w:tc>
        <w:tc>
          <w:tcPr/>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digitales.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enfermedades crónicas.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en salud.</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Aplicaciones móviles.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empleada</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entre aspectos claves del documento y las asignaturas vistas en el semestre.</w:t>
            </w:r>
          </w:p>
        </w:tc>
        <w:tc>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II:</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herramientas digitales para la gestión de enfermedades crónicas requiere de habilidades avanzadas en programación, incluyendo el manejo de bases de datos, interfaces de usuario y la integración de dispositivos externos. Los conceptos y técnicas aprendidos en Programación II pueden ser directamente aplicados al diseño y desarrollo de la aplicación, enfocándose en la creación de una plataforma robusta, intuitiva y escalable.</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Estadística:</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interpretación de los datos recopilados a través de la aplicación (por ejemplo, patrones de actividad física, seguimiento de la dieta, control de la medicación, etc.) puede beneficiarse enormemente de los métodos estadísticos. El análisis estadístico permitirá identificar tendencias, evaluar la efectividad de las intervenciones propuestas y personalizar las recomendaciones para los usuarios. La estadística proporciona las herramientas necesarias para validar científicamente los resultados obtenidos y optimizar las funcionalidades de la app.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Cálculo Integral: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vínculo puede no ser tan directo como con otras asignaturas, el Cálculo Integral puede aplicarse en la modelización de patrones de cambio en el estado de salud de los usuarios a lo largo del tiempo, como las variaciones en niveles de glucosa, presión arterial o peso. Estas aplicaciones matemáticas avanzadas pueden mejorar los algoritmos de predicción de la aplicación, contribuyendo a una personalización más precisa de las intervenciones de salud.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Seminario Investigativo:</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asignatura complementa el proyecto al proporcionar las bases metodológicas para realizar una investigación rigurosa sobre la eficacia de las herramientas digitales en la gestión de enfermedades crónicas. Los conocimientos adquiridos en metodología de la investigación facilitan la correcta formulación de objetivos, diseño de estudios para recoger y analizar datos, y la redacción de informes científicos que validen la aplicación desarrollada.</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Física Eléctrica:</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comprensión de los principios de la física eléctrica es esencial para el diseño e integración de dispositivos de medición (como glucómetros, tensiómetros, o wearables para monitorizar la actividad física) con la aplicación. Este conocimiento permite a los desarrolladores entender cómo estos dispositivos capturan, procesan y transmiten datos de salud, asegurando una integración eficaz y precisa con la plataforma de gestión de enfermedades crónicas.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sobre la utilidad del documento en su Proyecto de Aula</w:t>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es extremadamente relevante para nuestro proyecto de aula, "Desarrollo de un sistema de salud y bienestar para personas con enfermedades crónicas", ya que ofrece insights sobre cómo las aplicaciones y las herramientas digitales pueden ser diseñadas e implementadas para mejorar la gestión de enfermedades crónicas. Además, proporciona evidencia sobre la efectividad de estas tecnologías en el ámbito de la salud, lo cual puede servir de fundamentación para justificar el desarrollo de nuestro proyecto. Los ejemplos específicos y las estrategias discutidas pueden ser adaptadas para mejorar las características de nuestra aplicación en desarrollo, asegurando que cumpla de manera efectiva con las necesidades de nuestros usuarios.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Recuerda que esta matriz es un ejemplo basado en la información proporcionada y que, para llenarla con precisión, será necesario analizar en detalle el artículo mencionado y adaptar los contenidos a las especificidades de tu proyecto y los requisitos de tu institución educativa.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Marco Conceptual</w:t>
      </w:r>
    </w:p>
    <w:p w:rsidR="00000000" w:rsidDel="00000000" w:rsidP="00000000" w:rsidRDefault="00000000" w:rsidRPr="00000000" w14:paraId="00000066">
      <w:pPr>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t xml:space="preserve">Según la norma APA</w:t>
      </w:r>
      <w:r w:rsidDel="00000000" w:rsidR="00000000" w:rsidRPr="00000000">
        <w:rPr>
          <w:rFonts w:ascii="Arial" w:cs="Arial" w:eastAsia="Arial" w:hAnsi="Arial"/>
          <w:color w:val="222222"/>
          <w:sz w:val="24"/>
          <w:szCs w:val="24"/>
          <w:vertAlign w:val="superscript"/>
        </w:rPr>
        <w:footnoteReference w:customMarkFollows="0" w:id="0"/>
      </w:r>
      <w:r w:rsidDel="00000000" w:rsidR="00000000" w:rsidRPr="00000000">
        <w:rPr>
          <w:rFonts w:ascii="Arial" w:cs="Arial" w:eastAsia="Arial" w:hAnsi="Arial"/>
          <w:color w:val="222222"/>
          <w:sz w:val="24"/>
          <w:szCs w:val="24"/>
          <w:rtl w:val="0"/>
        </w:rPr>
        <w:t xml:space="preserve"> la teoría debe tratarse de forma ordenada y coherente, en este apartado se especifican cuáles autores o conceptos se van a utilizar y por qué</w:t>
      </w: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14:paraId="00000067">
      <w:pPr>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La finalidad es crear un cuerpo unificado de criterios que sirva para comprender y analizar el tema propuesto. Se puede trabajar con unas o varias consideraciones teóricas para explicar ciertos conceptos o definiciones. </w:t>
      </w:r>
    </w:p>
    <w:p w:rsidR="00000000" w:rsidDel="00000000" w:rsidP="00000000" w:rsidRDefault="00000000" w:rsidRPr="00000000" w14:paraId="00000068">
      <w:pPr>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El grupo de proyecto de aula deberá presentar por lo menos tres referentes teóricos.</w:t>
      </w:r>
    </w:p>
    <w:p w:rsidR="00000000" w:rsidDel="00000000" w:rsidP="00000000" w:rsidRDefault="00000000" w:rsidRPr="00000000" w14:paraId="00000069">
      <w:pPr>
        <w:jc w:val="both"/>
        <w:rPr>
          <w:rFonts w:ascii="Arial" w:cs="Arial" w:eastAsia="Arial" w:hAnsi="Arial"/>
          <w:color w:val="222222"/>
          <w:sz w:val="24"/>
          <w:szCs w:val="24"/>
          <w:highlight w:val="white"/>
        </w:rPr>
      </w:pPr>
      <w:r w:rsidDel="00000000" w:rsidR="00000000" w:rsidRPr="00000000">
        <w:rPr>
          <w:rtl w:val="0"/>
        </w:rPr>
      </w:r>
    </w:p>
    <w:tbl>
      <w:tblPr>
        <w:tblStyle w:val="Table3"/>
        <w:tblW w:w="878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97"/>
        <w:gridCol w:w="5387"/>
        <w:tblGridChange w:id="0">
          <w:tblGrid>
            <w:gridCol w:w="3397"/>
            <w:gridCol w:w="5387"/>
          </w:tblGrid>
        </w:tblGridChange>
      </w:tblGrid>
      <w:tr>
        <w:trPr>
          <w:cantSplit w:val="0"/>
          <w:tblHeader w:val="0"/>
        </w:trPr>
        <w:tc>
          <w:tcPr/>
          <w:p w:rsidR="00000000" w:rsidDel="00000000" w:rsidP="00000000" w:rsidRDefault="00000000" w:rsidRPr="00000000" w14:paraId="0000006A">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Concepto o tema priorizado</w:t>
            </w:r>
          </w:p>
        </w:tc>
        <w:tc>
          <w:tcPr/>
          <w:p w:rsidR="00000000" w:rsidDel="00000000" w:rsidP="00000000" w:rsidRDefault="00000000" w:rsidRPr="00000000" w14:paraId="0000006B">
            <w:pPr>
              <w:jc w:val="both"/>
              <w:rPr>
                <w:rFonts w:ascii="Arial" w:cs="Arial" w:eastAsia="Arial" w:hAnsi="Arial"/>
                <w:b w:val="0"/>
                <w:i w:val="1"/>
                <w:color w:val="222222"/>
                <w:highlight w:val="white"/>
              </w:rPr>
            </w:pPr>
            <w:r w:rsidDel="00000000" w:rsidR="00000000" w:rsidRPr="00000000">
              <w:rPr>
                <w:rFonts w:ascii="Arial" w:cs="Arial" w:eastAsia="Arial" w:hAnsi="Arial"/>
                <w:b w:val="0"/>
                <w:i w:val="1"/>
                <w:color w:val="222222"/>
                <w:highlight w:val="white"/>
                <w:rtl w:val="0"/>
              </w:rPr>
              <w:t xml:space="preserve">Por ejemplo: Matrices</w:t>
            </w:r>
          </w:p>
          <w:p w:rsidR="00000000" w:rsidDel="00000000" w:rsidP="00000000" w:rsidRDefault="00000000" w:rsidRPr="00000000" w14:paraId="0000006C">
            <w:pPr>
              <w:jc w:val="both"/>
              <w:rPr>
                <w:rFonts w:ascii="Arial" w:cs="Arial" w:eastAsia="Arial" w:hAnsi="Arial"/>
                <w:b w:val="0"/>
                <w:i w:val="1"/>
                <w:color w:val="222222"/>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rPr>
                <w:rFonts w:ascii="Arial" w:cs="Arial" w:eastAsia="Arial" w:hAnsi="Arial"/>
                <w:color w:val="222222"/>
                <w:sz w:val="24"/>
                <w:szCs w:val="24"/>
                <w:highlight w:val="white"/>
              </w:rPr>
            </w:pPr>
            <w:r w:rsidDel="00000000" w:rsidR="00000000" w:rsidRPr="00000000">
              <w:rPr>
                <w:rFonts w:ascii="Arial" w:cs="Arial" w:eastAsia="Arial" w:hAnsi="Arial"/>
                <w:color w:val="222222"/>
                <w:highlight w:val="white"/>
                <w:rtl w:val="0"/>
              </w:rPr>
              <w:t xml:space="preserve">Autor (es)</w:t>
            </w:r>
            <w:r w:rsidDel="00000000" w:rsidR="00000000" w:rsidRPr="00000000">
              <w:rPr>
                <w:rtl w:val="0"/>
              </w:rPr>
            </w:r>
          </w:p>
        </w:tc>
        <w:tc>
          <w:tcPr/>
          <w:p w:rsidR="00000000" w:rsidDel="00000000" w:rsidP="00000000" w:rsidRDefault="00000000" w:rsidRPr="00000000" w14:paraId="0000006E">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6F">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rPr>
                <w:rFonts w:ascii="Arial" w:cs="Arial" w:eastAsia="Arial" w:hAnsi="Arial"/>
                <w:color w:val="222222"/>
                <w:sz w:val="24"/>
                <w:szCs w:val="24"/>
                <w:highlight w:val="white"/>
              </w:rPr>
            </w:pPr>
            <w:r w:rsidDel="00000000" w:rsidR="00000000" w:rsidRPr="00000000">
              <w:rPr>
                <w:rFonts w:ascii="Arial" w:cs="Arial" w:eastAsia="Arial" w:hAnsi="Arial"/>
                <w:color w:val="222222"/>
                <w:highlight w:val="white"/>
                <w:rtl w:val="0"/>
              </w:rPr>
              <w:t xml:space="preserve">Cita bibliográfica (Icontec)</w:t>
            </w:r>
            <w:r w:rsidDel="00000000" w:rsidR="00000000" w:rsidRPr="00000000">
              <w:rPr>
                <w:rtl w:val="0"/>
              </w:rPr>
            </w:r>
          </w:p>
        </w:tc>
        <w:tc>
          <w:tcPr/>
          <w:p w:rsidR="00000000" w:rsidDel="00000000" w:rsidP="00000000" w:rsidRDefault="00000000" w:rsidRPr="00000000" w14:paraId="00000072">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4">
            <w:pPr>
              <w:jc w:val="both"/>
              <w:rPr>
                <w:rFonts w:ascii="Arial" w:cs="Arial" w:eastAsia="Arial" w:hAnsi="Arial"/>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5">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Cita textual, Paráfrasis o idea desarrollada.</w:t>
            </w:r>
          </w:p>
          <w:p w:rsidR="00000000" w:rsidDel="00000000" w:rsidP="00000000" w:rsidRDefault="00000000" w:rsidRPr="00000000" w14:paraId="00000076">
            <w:pPr>
              <w:rPr>
                <w:rFonts w:ascii="Arial" w:cs="Arial" w:eastAsia="Arial" w:hAnsi="Arial"/>
                <w:color w:val="222222"/>
                <w:highlight w:val="white"/>
              </w:rPr>
            </w:pPr>
            <w:r w:rsidDel="00000000" w:rsidR="00000000" w:rsidRPr="00000000">
              <w:rPr>
                <w:rtl w:val="0"/>
              </w:rPr>
            </w:r>
          </w:p>
        </w:tc>
        <w:tc>
          <w:tcPr/>
          <w:p w:rsidR="00000000" w:rsidDel="00000000" w:rsidP="00000000" w:rsidRDefault="00000000" w:rsidRPr="00000000" w14:paraId="00000077">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8">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9">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Relevancia o asociación con el desarrollo del Proyecto.</w:t>
            </w:r>
          </w:p>
        </w:tc>
        <w:tc>
          <w:tcPr/>
          <w:p w:rsidR="00000000" w:rsidDel="00000000" w:rsidP="00000000" w:rsidRDefault="00000000" w:rsidRPr="00000000" w14:paraId="0000007C">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7E">
            <w:pPr>
              <w:jc w:val="both"/>
              <w:rPr>
                <w:rFonts w:ascii="Arial" w:cs="Arial" w:eastAsia="Arial" w:hAnsi="Arial"/>
                <w:color w:val="222222"/>
                <w:sz w:val="24"/>
                <w:szCs w:val="24"/>
                <w:highlight w:val="white"/>
              </w:rPr>
            </w:pPr>
            <w:r w:rsidDel="00000000" w:rsidR="00000000" w:rsidRPr="00000000">
              <w:rPr>
                <w:rtl w:val="0"/>
              </w:rPr>
            </w:r>
          </w:p>
        </w:tc>
      </w:tr>
    </w:tbl>
    <w:p w:rsidR="00000000" w:rsidDel="00000000" w:rsidP="00000000" w:rsidRDefault="00000000" w:rsidRPr="00000000" w14:paraId="0000007F">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80">
      <w:pPr>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Norma APA 2019. Marco Teórico. Disponible en: http://normasapa.net/marco-teorico/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AC7381"/>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semiHidden w:val="1"/>
    <w:unhideWhenUsed w:val="1"/>
    <w:rsid w:val="00AC7381"/>
    <w:rPr>
      <w:color w:val="0000ff"/>
      <w:u w:val="single"/>
    </w:rPr>
  </w:style>
  <w:style w:type="table" w:styleId="Tablaconcuadrcula">
    <w:name w:val="Table Grid"/>
    <w:basedOn w:val="Tablanormal"/>
    <w:uiPriority w:val="39"/>
    <w:rsid w:val="00AC31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AC318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extoennegrita">
    <w:name w:val="Strong"/>
    <w:basedOn w:val="Fuentedeprrafopredeter"/>
    <w:uiPriority w:val="22"/>
    <w:qFormat w:val="1"/>
    <w:rsid w:val="004E57AE"/>
    <w:rPr>
      <w:b w:val="1"/>
      <w:bCs w:val="1"/>
    </w:rPr>
  </w:style>
  <w:style w:type="paragraph" w:styleId="Textonotapie">
    <w:name w:val="footnote text"/>
    <w:basedOn w:val="Normal"/>
    <w:link w:val="TextonotapieCar"/>
    <w:uiPriority w:val="99"/>
    <w:semiHidden w:val="1"/>
    <w:unhideWhenUsed w:val="1"/>
    <w:rsid w:val="00E6134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E6134D"/>
    <w:rPr>
      <w:sz w:val="20"/>
      <w:szCs w:val="20"/>
    </w:rPr>
  </w:style>
  <w:style w:type="character" w:styleId="Refdenotaalpie">
    <w:name w:val="footnote reference"/>
    <w:basedOn w:val="Fuentedeprrafopredeter"/>
    <w:uiPriority w:val="99"/>
    <w:semiHidden w:val="1"/>
    <w:unhideWhenUsed w:val="1"/>
    <w:rsid w:val="00E6134D"/>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Ns0fFARicv56T6odhqAX0AeJA==">CgMxLjA4AHIhMUJNQkoyTjd0dldEU2t3TDNGTnp6aWpubzR5ZGppUXRN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2019-06-13T03:02:00Z</dcterms:created>
  <dc:creator>carolina garcia acosta</dc:creator>
</cp:coreProperties>
</file>