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120"/>
        <w:jc w:val="center"/>
      </w:pPr>
      <w:r>
        <w:rPr>
          <w:rFonts w:ascii="Arial" w:cs="Arial" w:eastAsia="Arial" w:hAnsi="Arial"/>
          <w:b/>
          <w:bCs/>
          <w:color w:val="1F4E79"/>
          <w:sz w:val="28"/>
          <w:szCs w:val="28"/>
        </w:rPr>
        <w:t xml:space="preserve">DOCUMENTO DE REQUERIMIENTOS DE PRODUCTO</w:t>
      </w:r>
    </w:p>
    <w:p>
      <w:pPr>
        <w:spacing w:after="80" w:before="80"/>
        <w:jc w:val="center"/>
      </w:pPr>
      <w:r>
        <w:rPr>
          <w:rFonts w:ascii="Arial" w:cs="Arial" w:eastAsia="Arial" w:hAnsi="Arial"/>
          <w:b/>
          <w:bCs/>
          <w:color w:val="1F4E79"/>
          <w:sz w:val="24"/>
          <w:szCs w:val="24"/>
        </w:rPr>
        <w:t xml:space="preserve">(PRD)</w:t>
      </w:r>
    </w:p>
    <w:p>
      <w:pPr>
        <w:spacing w:after="80" w:before="240"/>
        <w:jc w:val="center"/>
      </w:pPr>
      <w:r>
        <w:rPr>
          <w:rFonts w:ascii="Arial" w:cs="Arial" w:eastAsia="Arial" w:hAnsi="Arial"/>
          <w:b/>
          <w:bCs/>
          <w:color w:val="000000"/>
          <w:sz w:val="40"/>
          <w:szCs w:val="40"/>
        </w:rPr>
        <w:t xml:space="preserve">Sistema de Gestión de Compras</w:t>
      </w:r>
    </w:p>
    <w:p>
      <w:pPr>
        <w:spacing w:after="240" w:before="80"/>
        <w:jc w:val="center"/>
      </w:pPr>
      <w:r>
        <w:rPr>
          <w:rFonts w:ascii="Arial" w:cs="Arial" w:eastAsia="Arial" w:hAnsi="Arial"/>
          <w:b/>
          <w:bCs/>
          <w:color w:val="2E75B6"/>
          <w:sz w:val="32"/>
          <w:szCs w:val="32"/>
        </w:rPr>
        <w:t xml:space="preserve">(SGP)</w:t>
      </w:r>
    </w:p>
    <w:p>
      <w:pPr>
        <w:spacing w:after="120" w:before="120"/>
        <w:jc w:val="center"/>
      </w:pPr>
      <w:r>
        <w:rPr>
          <w:rFonts w:ascii="Arial" w:cs="Arial" w:eastAsia="Arial" w:hAnsi="Arial"/>
          <w:i/>
          <w:iCs/>
          <w:color w:val="2E75B6"/>
          <w:sz w:val="24"/>
          <w:szCs w:val="24"/>
        </w:rPr>
        <w:t xml:space="preserve">Estandarización, Automatización y Control</w:t>
      </w:r>
    </w:p>
    <w:p>
      <w:pPr>
        <w:spacing w:after="800" w:before="0"/>
        <w:jc w:val="center"/>
      </w:pPr>
      <w:r>
        <w:rPr>
          <w:rFonts w:ascii="Arial" w:cs="Arial" w:eastAsia="Arial" w:hAnsi="Arial"/>
          <w:i/>
          <w:iCs/>
          <w:color w:val="2E75B6"/>
          <w:sz w:val="24"/>
          <w:szCs w:val="24"/>
        </w:rPr>
        <w:t xml:space="preserve">del Ciclo Completo de Adquisiciones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left"/>
            </w:pPr>
            <w:r>
              <w:rPr>
                <w:rFonts w:ascii="Arial" w:cs="Arial" w:eastAsia="Arial" w:hAnsi="Arial"/>
                <w:b/>
                <w:bCs/>
                <w:color w:val="FFFFFF"/>
                <w:sz w:val="22"/>
                <w:szCs w:val="22"/>
              </w:rPr>
              <w:t xml:space="preserve">Versión</w:t>
            </w:r>
          </w:p>
        </w:tc>
        <w:tc>
          <w:tcPr>
            <w:tcW w:type="dxa" w:w="4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2"/>
                <w:szCs w:val="22"/>
              </w:rPr>
              <w:t xml:space="preserve">2.0</w:t>
            </w:r>
          </w:p>
        </w:tc>
      </w:tr>
      <w:t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left"/>
            </w:pPr>
            <w:r>
              <w:rPr>
                <w:rFonts w:ascii="Arial" w:cs="Arial" w:eastAsia="Arial" w:hAnsi="Arial"/>
                <w:b/>
                <w:bCs/>
                <w:color w:val="FFFFFF"/>
                <w:sz w:val="22"/>
                <w:szCs w:val="22"/>
              </w:rPr>
              <w:t xml:space="preserve">Fecha</w:t>
            </w:r>
          </w:p>
        </w:tc>
        <w:tc>
          <w:tcPr>
            <w:tcW w:type="dxa" w:w="4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2"/>
                <w:szCs w:val="22"/>
              </w:rPr>
              <w:t xml:space="preserve">Marzo 2026</w:t>
            </w:r>
          </w:p>
        </w:tc>
      </w:tr>
      <w:t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left"/>
            </w:pPr>
            <w:r>
              <w:rPr>
                <w:rFonts w:ascii="Arial" w:cs="Arial" w:eastAsia="Arial" w:hAnsi="Arial"/>
                <w:b/>
                <w:bCs/>
                <w:color w:val="FFFFFF"/>
                <w:sz w:val="22"/>
                <w:szCs w:val="22"/>
              </w:rPr>
              <w:t xml:space="preserve">Autor</w:t>
            </w:r>
          </w:p>
        </w:tc>
        <w:tc>
          <w:tcPr>
            <w:tcW w:type="dxa" w:w="4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2"/>
                <w:szCs w:val="22"/>
              </w:rPr>
              <w:t xml:space="preserve">Área de Excelencia Operacional e Innovación</w:t>
            </w:r>
          </w:p>
        </w:tc>
      </w:tr>
      <w:t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left"/>
            </w:pPr>
            <w:r>
              <w:rPr>
                <w:rFonts w:ascii="Arial" w:cs="Arial" w:eastAsia="Arial" w:hAnsi="Arial"/>
                <w:b/>
                <w:bCs/>
                <w:color w:val="FFFFFF"/>
                <w:sz w:val="22"/>
                <w:szCs w:val="22"/>
              </w:rPr>
              <w:t xml:space="preserve">Estado</w:t>
            </w:r>
          </w:p>
        </w:tc>
        <w:tc>
          <w:tcPr>
            <w:tcW w:type="dxa" w:w="4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2"/>
                <w:szCs w:val="22"/>
              </w:rPr>
              <w:t xml:space="preserve">Borrador para Revisión Gerencial</w:t>
            </w:r>
          </w:p>
        </w:tc>
      </w:tr>
      <w:t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left"/>
            </w:pPr>
            <w:r>
              <w:rPr>
                <w:rFonts w:ascii="Arial" w:cs="Arial" w:eastAsia="Arial" w:hAnsi="Arial"/>
                <w:b/>
                <w:bCs/>
                <w:color w:val="FFFFFF"/>
                <w:sz w:val="22"/>
                <w:szCs w:val="22"/>
              </w:rPr>
              <w:t xml:space="preserve">Clasificación</w:t>
            </w:r>
          </w:p>
        </w:tc>
        <w:tc>
          <w:tcPr>
            <w:tcW w:type="dxa" w:w="4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2"/>
                <w:szCs w:val="22"/>
              </w:rPr>
              <w:t xml:space="preserve">Confidencial — Uso Interno</w:t>
            </w:r>
          </w:p>
        </w:tc>
      </w:tr>
      <w:t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left"/>
            </w:pPr>
            <w:r>
              <w:rPr>
                <w:rFonts w:ascii="Arial" w:cs="Arial" w:eastAsia="Arial" w:hAnsi="Arial"/>
                <w:b/>
                <w:bCs/>
                <w:color w:val="FFFFFF"/>
                <w:sz w:val="22"/>
                <w:szCs w:val="22"/>
              </w:rPr>
              <w:t xml:space="preserve">Reemplaza a</w:t>
            </w:r>
          </w:p>
        </w:tc>
        <w:tc>
          <w:tcPr>
            <w:tcW w:type="dxa" w:w="4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2"/>
                <w:szCs w:val="22"/>
              </w:rPr>
              <w:t xml:space="preserve">PRD v1.0 (Febrero 2026)</w:t>
            </w:r>
          </w:p>
        </w:tc>
      </w:tr>
      <w:t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left"/>
            </w:pPr>
            <w:r>
              <w:rPr>
                <w:rFonts w:ascii="Arial" w:cs="Arial" w:eastAsia="Arial" w:hAnsi="Arial"/>
                <w:b/>
                <w:bCs/>
                <w:color w:val="FFFFFF"/>
                <w:sz w:val="22"/>
                <w:szCs w:val="22"/>
              </w:rPr>
              <w:t xml:space="preserve">Documentos asociados</w:t>
            </w:r>
          </w:p>
        </w:tc>
        <w:tc>
          <w:tcPr>
            <w:tcW w:type="dxa" w:w="4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2"/>
                <w:szCs w:val="22"/>
              </w:rPr>
              <w:t xml:space="preserve">BPMN PROCESO_COMPRAS (Bizagi)</w:t>
            </w:r>
          </w:p>
        </w:tc>
      </w:tr>
    </w:tbl>
    <w:p>
      <w:pPr>
        <w:pageBreakBefore/>
      </w:pPr>
      <w:r>
        <w:t xml:space="preserve"/>
      </w:r>
    </w:p>
    <w:p>
      <w:pPr>
        <w:spacing w:after="240" w:before="240"/>
      </w:pPr>
      <w:r>
        <w:rPr>
          <w:rFonts w:ascii="Arial" w:cs="Arial" w:eastAsia="Arial" w:hAnsi="Arial"/>
          <w:b/>
          <w:bCs/>
          <w:color w:val="1F4E79"/>
          <w:sz w:val="32"/>
          <w:szCs w:val="32"/>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pPr>
        <w:pageBreakBefore/>
      </w:pPr>
      <w:r>
        <w:t xml:space="preserve"/>
      </w:r>
    </w:p>
    <w:p>
      <w:pPr>
        <w:spacing w:after="240" w:before="240"/>
      </w:pPr>
      <w:r>
        <w:rPr>
          <w:rFonts w:ascii="Arial" w:cs="Arial" w:eastAsia="Arial" w:hAnsi="Arial"/>
          <w:b/>
          <w:bCs/>
          <w:color w:val="1F4E79"/>
          <w:sz w:val="28"/>
          <w:szCs w:val="28"/>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Versión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Fecha</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Autor</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Cambios principales</w:t>
            </w:r>
          </w:p>
        </w:tc>
      </w:tr>
      <w:tr>
        <w:trPr>
          <w:tblHeader w:val="false"/>
        </w:trPr>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Feb 2026</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Excelencia Operacional</w:t>
            </w:r>
          </w:p>
        </w:tc>
        <w:tc>
          <w:tcPr>
            <w:tcW w:type="dxa" w:w="4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Versión inicial con 4 fases simplificadas (Solicitud → Aprobación → Compra → Cierre).</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2.0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Mar 2026</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Excelencia Operacional</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Reemplazo total. Incorpora proceso de 6 fases derivado del BPMN TO-BE: incluye fase de Cotización, ciclo de Valorización, matriz dual de aprobaciones (SC + OC), integración SII y matching 3-way bloqueante. Catálogo maestro de ítems agregado como habilitador de calidad de información.</w:t>
            </w:r>
          </w:p>
        </w:tc>
      </w:tr>
    </w:tbl>
    <w:p>
      <w:pPr>
        <w:spacing w:after="120" w:before="120"/>
      </w:pPr>
      <w:r>
        <w:t xml:space="preserve"/>
      </w:r>
    </w:p>
    <w:p>
      <w:pPr>
        <w:pStyle w:val="Heading1"/>
        <w:pageBreakBefore/>
        <w:spacing w:after="200" w:before="360"/>
      </w:pPr>
      <w:r>
        <w:rPr>
          <w:rFonts w:ascii="Arial" w:cs="Arial" w:eastAsia="Arial" w:hAnsi="Arial"/>
          <w:b/>
          <w:bCs/>
          <w:color w:val="1F4E79"/>
          <w:sz w:val="32"/>
          <w:szCs w:val="32"/>
        </w:rPr>
        <w:t xml:space="preserve">1. Contexto y Planteamiento del Problema</w:t>
      </w:r>
    </w:p>
    <w:p>
      <w:pPr>
        <w:pStyle w:val="Heading2"/>
        <w:spacing w:after="120" w:before="240"/>
      </w:pPr>
      <w:r>
        <w:rPr>
          <w:rFonts w:ascii="Arial" w:cs="Arial" w:eastAsia="Arial" w:hAnsi="Arial"/>
          <w:b/>
          <w:bCs/>
          <w:color w:val="1F4E79"/>
          <w:sz w:val="26"/>
          <w:szCs w:val="26"/>
        </w:rPr>
        <w:t xml:space="preserve">1.1 Situación actual</w:t>
      </w:r>
    </w:p>
    <w:p>
      <w:pPr>
        <w:spacing w:after="80" w:before="80"/>
        <w:jc w:val="both"/>
      </w:pPr>
      <w:r>
        <w:rPr>
          <w:rFonts w:ascii="Arial" w:cs="Arial" w:eastAsia="Arial" w:hAnsi="Arial"/>
          <w:b w:val="false"/>
          <w:bCs w:val="false"/>
          <w:i w:val="false"/>
          <w:iCs w:val="false"/>
          <w:color w:val="000000"/>
          <w:sz w:val="22"/>
          <w:szCs w:val="22"/>
        </w:rPr>
        <w:t xml:space="preserve">La gestión de compras se ejecuta hoy mediante canales informales —correos electrónicos, mensajes de WhatsApp, comunicaciones verbales y formularios aislados— sin un flujo formal de aprobación, sin trazabilidad estructurada y sin reglas objetivas que determinen jerarquía de aprobación según centro de costo, tipo de compra, empresa o monto.</w:t>
      </w:r>
    </w:p>
    <w:p>
      <w:pPr>
        <w:spacing w:after="80" w:before="80"/>
        <w:jc w:val="both"/>
      </w:pPr>
      <w:r>
        <w:rPr>
          <w:rFonts w:ascii="Arial" w:cs="Arial" w:eastAsia="Arial" w:hAnsi="Arial"/>
          <w:b w:val="false"/>
          <w:bCs w:val="false"/>
          <w:i w:val="false"/>
          <w:iCs w:val="false"/>
          <w:color w:val="000000"/>
          <w:sz w:val="22"/>
          <w:szCs w:val="22"/>
        </w:rPr>
        <w:t xml:space="preserve">Esta informalidad afecta directamente tres dimensiones críticas para el negocio: la eficiencia operativa (tiempos de ciclo no medibles ni controlables), el control financiero (sin visibilidad presupuestaria en tiempo real) y la capacidad de auditoría (ausencia de evidencia estructurada). Adicionalmente, no existe un catálogo maestro de ítems que normalice la información de lo que la organización compra, lo que impide cualquier análisis agregado de gasto, identificación de duplicidad o gestión estratégica de proveedores.</w:t>
      </w:r>
    </w:p>
    <w:p>
      <w:pPr>
        <w:pStyle w:val="Heading2"/>
        <w:spacing w:after="120" w:before="240"/>
      </w:pPr>
      <w:r>
        <w:rPr>
          <w:rFonts w:ascii="Arial" w:cs="Arial" w:eastAsia="Arial" w:hAnsi="Arial"/>
          <w:b/>
          <w:bCs/>
          <w:color w:val="1F4E79"/>
          <w:sz w:val="26"/>
          <w:szCs w:val="26"/>
        </w:rPr>
        <w:t xml:space="preserve">1.2 Problemas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Problema</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Impacto</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P1</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Falta de trazabilidad</w:t>
            </w:r>
          </w:p>
        </w:tc>
        <w:tc>
          <w:tcPr>
            <w:tcW w:type="dxa" w:w="6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 es posible determinar el estado real de cada solicitud en un momento dado.</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Sin registro de aprobaciones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Desconocimiento de quién aprobó qué, cuándo y bajo qué criterio.</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P3</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Sin control presupuestario</w:t>
            </w:r>
          </w:p>
        </w:tc>
        <w:tc>
          <w:tcPr>
            <w:tcW w:type="dxa" w:w="6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Ausencia de visibilidad de consumo presupuestario en tiempo real por centro de costo.</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Desalineación documental</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 existe vínculo formal entre Solicitud de Compra (SC), cotización, Orden de Compra (OC), recepción y Factura.</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P5</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Datos no estructurados</w:t>
            </w:r>
          </w:p>
        </w:tc>
        <w:tc>
          <w:tcPr>
            <w:tcW w:type="dxa" w:w="6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Las solicitudes se redactan en texto libre. No existe catálogo de ítems ni taxonomía de gasto que permita análisis agregado.</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Sin matching 3-way</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La validación de factura contra OC y recepción se ejecuta manualmente, generando errores y demoras.</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P7</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Riesgo SII</w:t>
            </w:r>
          </w:p>
        </w:tc>
        <w:tc>
          <w:tcPr>
            <w:tcW w:type="dxa" w:w="6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La ventana de 8 días hábiles para aceptar o reclamar facturas DTE no se controla sistemáticamente, generando riesgo de aceptación tácita.</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Cuellos de botella invisibles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Imposible identificar dónde se frenan las solicitudes ni medir tiempos de ciclo por etapa.</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P9</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Riesgo operativo y financiero</w:t>
            </w:r>
          </w:p>
        </w:tc>
        <w:tc>
          <w:tcPr>
            <w:tcW w:type="dxa" w:w="6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Compras urgentes se ejecutan sin respaldo formal, sin aprobación documentada y sin recepción conforme verificable.</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P10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Dependencia de canales informales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Se requieren conversaciones ad-hoc para destrabar compras, sin registro inmutable de las decisiones.</w:t>
            </w:r>
          </w:p>
        </w:tc>
      </w:tr>
    </w:tbl>
    <w:p>
      <w:pPr>
        <w:pStyle w:val="Heading2"/>
        <w:spacing w:after="120" w:before="240"/>
      </w:pPr>
      <w:r>
        <w:rPr>
          <w:rFonts w:ascii="Arial" w:cs="Arial" w:eastAsia="Arial" w:hAnsi="Arial"/>
          <w:b/>
          <w:bCs/>
          <w:color w:val="1F4E79"/>
          <w:sz w:val="26"/>
          <w:szCs w:val="26"/>
        </w:rPr>
        <w:t xml:space="preserve">1.3 Diagnóstico de control interno</w:t>
      </w:r>
    </w:p>
    <w:p>
      <w:pPr>
        <w:spacing w:after="80" w:before="80"/>
        <w:jc w:val="both"/>
      </w:pPr>
      <w:r>
        <w:rPr>
          <w:rFonts w:ascii="Arial" w:cs="Arial" w:eastAsia="Arial" w:hAnsi="Arial"/>
          <w:b w:val="false"/>
          <w:bCs w:val="false"/>
          <w:i w:val="false"/>
          <w:iCs w:val="false"/>
          <w:color w:val="000000"/>
          <w:sz w:val="22"/>
          <w:szCs w:val="22"/>
        </w:rPr>
        <w:t xml:space="preserve">Evaluado contra las propiedades fundamentales que debe cumplir un proceso de compras robusto, el estado actual no satisface ninguna: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Propiedad</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Estado actual</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Estado objetivo</w:t>
            </w:r>
          </w:p>
        </w:tc>
      </w:tr>
      <w:tr>
        <w:trPr>
          <w:tblHeader w:val="false"/>
        </w:trPr>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Determinista</w:t>
            </w:r>
          </w:p>
        </w:tc>
        <w:tc>
          <w:tcPr>
            <w:tcW w:type="dxa" w:w="3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No cumple</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Reglas formales y predecibles</w:t>
            </w:r>
          </w:p>
        </w:tc>
      </w:tr>
      <w:tr>
        <w:trPr>
          <w:tblHeader w:val="false"/>
        </w:trPr>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Auditable</w:t>
            </w:r>
          </w:p>
        </w:tc>
        <w:tc>
          <w:tcPr>
            <w:tcW w:type="dxa" w:w="3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No cumple</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Registro inmutable completo</w:t>
            </w:r>
          </w:p>
        </w:tc>
      </w:tr>
      <w:tr>
        <w:trPr>
          <w:tblHeader w:val="false"/>
        </w:trPr>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Jerárquico</w:t>
            </w:r>
          </w:p>
        </w:tc>
        <w:tc>
          <w:tcPr>
            <w:tcW w:type="dxa" w:w="3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No cumple</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Aprobaciones dinámicas multinivel</w:t>
            </w:r>
          </w:p>
        </w:tc>
      </w:tr>
      <w:tr>
        <w:trPr>
          <w:tblHeader w:val="false"/>
        </w:trPr>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Presupuestariamente controlado</w:t>
            </w:r>
          </w:p>
        </w:tc>
        <w:tc>
          <w:tcPr>
            <w:tcW w:type="dxa" w:w="3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No cumple</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Control en línea por centro de costo</w:t>
            </w:r>
          </w:p>
        </w:tc>
      </w:tr>
      <w:tr>
        <w:trPr>
          <w:tblHeader w:val="false"/>
        </w:trPr>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Estructurado en datos</w:t>
            </w:r>
          </w:p>
        </w:tc>
        <w:tc>
          <w:tcPr>
            <w:tcW w:type="dxa" w:w="3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No cumple</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Catálogo maestro y taxonomía formal</w:t>
            </w:r>
          </w:p>
        </w:tc>
      </w:tr>
      <w:tr>
        <w:trPr>
          <w:tblHeader w:val="false"/>
        </w:trPr>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Conciliado documentalmente</w:t>
            </w:r>
          </w:p>
        </w:tc>
        <w:tc>
          <w:tcPr>
            <w:tcW w:type="dxa" w:w="3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No cumple</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Matching 3-way SC↔OC↔Recepción↔Factura</w:t>
            </w:r>
          </w:p>
        </w:tc>
      </w:tr>
    </w:tbl>
    <w:p>
      <w:pPr>
        <w:pStyle w:val="Heading1"/>
        <w:pageBreakBefore/>
        <w:spacing w:after="200" w:before="360"/>
      </w:pPr>
      <w:r>
        <w:rPr>
          <w:rFonts w:ascii="Arial" w:cs="Arial" w:eastAsia="Arial" w:hAnsi="Arial"/>
          <w:b/>
          <w:bCs/>
          <w:color w:val="1F4E79"/>
          <w:sz w:val="32"/>
          <w:szCs w:val="32"/>
        </w:rPr>
        <w:t xml:space="preserve">2. Objetivos del Proyecto</w:t>
      </w:r>
    </w:p>
    <w:p>
      <w:pPr>
        <w:pStyle w:val="Heading2"/>
        <w:spacing w:after="120" w:before="240"/>
      </w:pPr>
      <w:r>
        <w:rPr>
          <w:rFonts w:ascii="Arial" w:cs="Arial" w:eastAsia="Arial" w:hAnsi="Arial"/>
          <w:b/>
          <w:bCs/>
          <w:color w:val="1F4E79"/>
          <w:sz w:val="26"/>
          <w:szCs w:val="26"/>
        </w:rPr>
        <w:t xml:space="preserve">2.1 Objetivo estratégico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Declaración Estratégica</w:t>
            </w:r>
          </w:p>
          <w:p>
            <w:pPr>
              <w:spacing w:after="0" w:before="0"/>
              <w:jc w:val="both"/>
            </w:pPr>
            <w:r>
              <w:rPr>
                <w:rFonts w:ascii="Arial" w:cs="Arial" w:eastAsia="Arial" w:hAnsi="Arial"/>
                <w:sz w:val="20"/>
                <w:szCs w:val="20"/>
              </w:rPr>
              <w:t xml:space="preserve">Transformar la gestión de compras desde un proceso informal y reactivo hacia un sistema formal, determinista, auditable y con información estructurada, que gestione el ciclo de vida completo de cada adquisición —desde la detección de la necesidad hasta el registro de la cuenta por pagar— con dos objetivos prioritarios: mejorar la calidad de la información de lo que se compra y acelerar la velocidad de gestión.</w:t>
            </w:r>
          </w:p>
        </w:tc>
      </w:tr>
    </w:tbl>
    <w:p>
      <w:pPr>
        <w:spacing w:after="60" w:before="60"/>
      </w:pPr>
      <w:r>
        <w:t xml:space="preserve"/>
      </w:r>
    </w:p>
    <w:p>
      <w:pPr>
        <w:pStyle w:val="Heading2"/>
        <w:spacing w:after="120" w:before="240"/>
      </w:pPr>
      <w:r>
        <w:rPr>
          <w:rFonts w:ascii="Arial" w:cs="Arial" w:eastAsia="Arial" w:hAnsi="Arial"/>
          <w:b/>
          <w:bCs/>
          <w:color w:val="1F4E79"/>
          <w:sz w:val="26"/>
          <w:szCs w:val="26"/>
        </w:rPr>
        <w:t xml:space="preserve">2.2 Objetivo general</w:t>
      </w:r>
    </w:p>
    <w:p>
      <w:pPr>
        <w:spacing w:after="80" w:before="80"/>
        <w:jc w:val="both"/>
      </w:pPr>
      <w:r>
        <w:rPr>
          <w:rFonts w:ascii="Arial" w:cs="Arial" w:eastAsia="Arial" w:hAnsi="Arial"/>
          <w:b w:val="false"/>
          <w:bCs w:val="false"/>
          <w:i w:val="false"/>
          <w:iCs w:val="false"/>
          <w:color w:val="000000"/>
          <w:sz w:val="22"/>
          <w:szCs w:val="22"/>
        </w:rPr>
        <w:t xml:space="preserve">Implementar un sistema que controle, estructure y audite el ciclo completo de adquisiciones bajo el siguiente flujo TO-BE: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E2EFDA"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Ciclo de Vida de la Adquisición</w:t>
            </w:r>
          </w:p>
          <w:p>
            <w:pPr>
              <w:spacing w:after="0" w:before="0"/>
              <w:jc w:val="both"/>
            </w:pPr>
            <w:r>
              <w:rPr>
                <w:rFonts w:ascii="Arial" w:cs="Arial" w:eastAsia="Arial" w:hAnsi="Arial"/>
                <w:sz w:val="20"/>
                <w:szCs w:val="20"/>
              </w:rPr>
              <w:t xml:space="preserve">Necesidad → Solicitud de Compra (SC) → Aprobación de SC → Validación Presupuestaria → Cotización → Valorización → Decisión → Orden de Compra (OC) → Aprobación de OC → Recepción Conforme → Factura DTE → Matching 3-way → Cuenta por Pagar (CxP)</w:t>
            </w:r>
          </w:p>
        </w:tc>
      </w:tr>
    </w:tbl>
    <w:p>
      <w:pPr>
        <w:spacing w:after="60" w:before="60"/>
      </w:pPr>
      <w:r>
        <w:t xml:space="preserve"/>
      </w:r>
    </w:p>
    <w:p>
      <w:pPr>
        <w:pStyle w:val="Heading2"/>
        <w:spacing w:after="120" w:before="240"/>
      </w:pPr>
      <w:r>
        <w:rPr>
          <w:rFonts w:ascii="Arial" w:cs="Arial" w:eastAsia="Arial" w:hAnsi="Arial"/>
          <w:b/>
          <w:bCs/>
          <w:color w:val="1F4E79"/>
          <w:sz w:val="26"/>
          <w:szCs w:val="26"/>
        </w:rPr>
        <w:t xml:space="preserve">2.3 Objetivos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OE</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Descripción</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Métrica clave</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OE1</w:t>
            </w:r>
          </w:p>
        </w:tc>
        <w:tc>
          <w:tcPr>
            <w:tcW w:type="dxa" w:w="5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Establecer un flujo jerárquico de aprobaciones dinámico, basado en reglas objetivas, diferenciado para SC y OC.</w:t>
            </w:r>
          </w:p>
        </w:tc>
        <w:tc>
          <w:tcPr>
            <w:tcW w:type="dxa" w:w="3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100% de solicitudes y OC siguen flujo formal según matriz.</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OE2</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Garantizar trazabilidad total e inmutabilidad de cada acción del proceso.</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100% de acciones registradas con timestamp, autor e IP.</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OE3</w:t>
            </w:r>
          </w:p>
        </w:tc>
        <w:tc>
          <w:tcPr>
            <w:tcW w:type="dxa" w:w="5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Estructurar la información de lo que se compra mediante catálogo maestro de ítems y taxonomía de gasto.</w:t>
            </w:r>
          </w:p>
        </w:tc>
        <w:tc>
          <w:tcPr>
            <w:tcW w:type="dxa" w:w="3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90% de SC vinculadas a SKU del catálogo en mes 6.</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OE4</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Conciliar documentalmente SC, cotización, OC, recepción y factura mediante vínculos sistémicos (no manuales).</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100% de OC con vinculación SC + cotización ganadora trazable.</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OE5</w:t>
            </w:r>
          </w:p>
        </w:tc>
        <w:tc>
          <w:tcPr>
            <w:tcW w:type="dxa" w:w="5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Implementar matching 3-way bloqueante entre OC, recepción conforme y factura DTE.</w:t>
            </w:r>
          </w:p>
        </w:tc>
        <w:tc>
          <w:tcPr>
            <w:tcW w:type="dxa" w:w="3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0% de facturas pagadas sin matching exitoso.</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OE6</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Gestionar la ventana SII de 8 días hábiles con alertas tempranas y escalamiento automático.</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0 facturas con aceptación tácita por vencimiento de plazo.</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OE7</w:t>
            </w:r>
          </w:p>
        </w:tc>
        <w:tc>
          <w:tcPr>
            <w:tcW w:type="dxa" w:w="5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Acelerar el ciclo de gestión mediante herencia automática de datos entre etapas y notificaciones push.</w:t>
            </w:r>
          </w:p>
        </w:tc>
        <w:tc>
          <w:tcPr>
            <w:tcW w:type="dxa" w:w="3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Reducción del tiempo de ciclo SC→OC en ≥ 40% respecto a línea base.</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OE8</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Habilitar control presupuestario en línea por centro de costo con validación automática.</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100% de SC con verificación presupuestaria sistémica antes de cotizar.</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OE9</w:t>
            </w:r>
          </w:p>
        </w:tc>
        <w:tc>
          <w:tcPr>
            <w:tcW w:type="dxa" w:w="5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Generar métricas de desempeño del proceso (tiempos por etapa, rechazos, recotizaciones, cuellos de botella).</w:t>
            </w:r>
          </w:p>
        </w:tc>
        <w:tc>
          <w:tcPr>
            <w:tcW w:type="dxa" w:w="3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Dashboard operativo y reportes mensuales automatizados.</w:t>
            </w:r>
          </w:p>
        </w:tc>
      </w:tr>
    </w:tbl>
    <w:p>
      <w:pPr>
        <w:pStyle w:val="Heading1"/>
        <w:pageBreakBefore/>
        <w:spacing w:after="200" w:before="360"/>
      </w:pPr>
      <w:r>
        <w:rPr>
          <w:rFonts w:ascii="Arial" w:cs="Arial" w:eastAsia="Arial" w:hAnsi="Arial"/>
          <w:b/>
          <w:bCs/>
          <w:color w:val="1F4E79"/>
          <w:sz w:val="32"/>
          <w:szCs w:val="32"/>
        </w:rPr>
        <w:t xml:space="preserve">3. Alcance del Sistema</w:t>
      </w:r>
    </w:p>
    <w:p>
      <w:pPr>
        <w:pStyle w:val="Heading2"/>
        <w:spacing w:after="120" w:before="240"/>
      </w:pPr>
      <w:r>
        <w:rPr>
          <w:rFonts w:ascii="Arial" w:cs="Arial" w:eastAsia="Arial" w:hAnsi="Arial"/>
          <w:b/>
          <w:bCs/>
          <w:color w:val="1F4E79"/>
          <w:sz w:val="26"/>
          <w:szCs w:val="26"/>
        </w:rPr>
        <w:t xml:space="preserve">3.1 Dentro del alcance</w:t>
      </w:r>
    </w:p>
    <w:p>
      <w:pPr>
        <w:pStyle w:val="ListParagraph"/>
        <w:numPr>
          <w:ilvl w:val="0"/>
          <w:numId w:val="2"/>
        </w:numPr>
        <w:spacing w:after="40" w:before="40"/>
      </w:pPr>
      <w:r>
        <w:rPr>
          <w:rFonts w:ascii="Arial" w:cs="Arial" w:eastAsia="Arial" w:hAnsi="Arial"/>
          <w:sz w:val="22"/>
          <w:szCs w:val="22"/>
        </w:rPr>
        <w:t xml:space="preserve">Solicitudes internas de compra de bienes y servicios.</w:t>
      </w:r>
    </w:p>
    <w:p>
      <w:pPr>
        <w:pStyle w:val="ListParagraph"/>
        <w:numPr>
          <w:ilvl w:val="0"/>
          <w:numId w:val="2"/>
        </w:numPr>
        <w:spacing w:after="40" w:before="40"/>
      </w:pPr>
      <w:r>
        <w:rPr>
          <w:rFonts w:ascii="Arial" w:cs="Arial" w:eastAsia="Arial" w:hAnsi="Arial"/>
          <w:sz w:val="22"/>
          <w:szCs w:val="22"/>
        </w:rPr>
        <w:t xml:space="preserve">Catálogo maestro de ítems (SKU interno) y taxonomía de gasto.</w:t>
      </w:r>
    </w:p>
    <w:p>
      <w:pPr>
        <w:pStyle w:val="ListParagraph"/>
        <w:numPr>
          <w:ilvl w:val="0"/>
          <w:numId w:val="2"/>
        </w:numPr>
        <w:spacing w:after="40" w:before="40"/>
      </w:pPr>
      <w:r>
        <w:rPr>
          <w:rFonts w:ascii="Arial" w:cs="Arial" w:eastAsia="Arial" w:hAnsi="Arial"/>
          <w:sz w:val="22"/>
          <w:szCs w:val="22"/>
        </w:rPr>
        <w:t xml:space="preserve">Flujo de aprobación multinivel para Solicitud de Compra (SC) y Orden de Compra (OC) con reglas dinámicas independientes.</w:t>
      </w:r>
    </w:p>
    <w:p>
      <w:pPr>
        <w:pStyle w:val="ListParagraph"/>
        <w:numPr>
          <w:ilvl w:val="0"/>
          <w:numId w:val="2"/>
        </w:numPr>
        <w:spacing w:after="40" w:before="40"/>
      </w:pPr>
      <w:r>
        <w:rPr>
          <w:rFonts w:ascii="Arial" w:cs="Arial" w:eastAsia="Arial" w:hAnsi="Arial"/>
          <w:sz w:val="22"/>
          <w:szCs w:val="22"/>
        </w:rPr>
        <w:t xml:space="preserve">Validación presupuestaria automática contra centro de costo.</w:t>
      </w:r>
    </w:p>
    <w:p>
      <w:pPr>
        <w:pStyle w:val="ListParagraph"/>
        <w:numPr>
          <w:ilvl w:val="0"/>
          <w:numId w:val="2"/>
        </w:numPr>
        <w:spacing w:after="40" w:before="40"/>
      </w:pPr>
      <w:r>
        <w:rPr>
          <w:rFonts w:ascii="Arial" w:cs="Arial" w:eastAsia="Arial" w:hAnsi="Arial"/>
          <w:sz w:val="22"/>
          <w:szCs w:val="22"/>
        </w:rPr>
        <w:t xml:space="preserve">Módulo de cotización (RFQ) con registro estructurado de ofertas.</w:t>
      </w:r>
    </w:p>
    <w:p>
      <w:pPr>
        <w:pStyle w:val="ListParagraph"/>
        <w:numPr>
          <w:ilvl w:val="0"/>
          <w:numId w:val="2"/>
        </w:numPr>
        <w:spacing w:after="40" w:before="40"/>
      </w:pPr>
      <w:r>
        <w:rPr>
          <w:rFonts w:ascii="Arial" w:cs="Arial" w:eastAsia="Arial" w:hAnsi="Arial"/>
          <w:sz w:val="22"/>
          <w:szCs w:val="22"/>
        </w:rPr>
        <w:t xml:space="preserve">Ciclo de valorización con tres decisiones posibles: aprobar, recotizar o rechazar.</w:t>
      </w:r>
    </w:p>
    <w:p>
      <w:pPr>
        <w:pStyle w:val="ListParagraph"/>
        <w:numPr>
          <w:ilvl w:val="0"/>
          <w:numId w:val="2"/>
        </w:numPr>
        <w:spacing w:after="40" w:before="40"/>
      </w:pPr>
      <w:r>
        <w:rPr>
          <w:rFonts w:ascii="Arial" w:cs="Arial" w:eastAsia="Arial" w:hAnsi="Arial"/>
          <w:sz w:val="22"/>
          <w:szCs w:val="22"/>
        </w:rPr>
        <w:t xml:space="preserve">Generación o vinculación de Orden de Compra con relación inmutable SC ↔ Cotización ↔ OC.</w:t>
      </w:r>
    </w:p>
    <w:p>
      <w:pPr>
        <w:pStyle w:val="ListParagraph"/>
        <w:numPr>
          <w:ilvl w:val="0"/>
          <w:numId w:val="2"/>
        </w:numPr>
        <w:spacing w:after="40" w:before="40"/>
      </w:pPr>
      <w:r>
        <w:rPr>
          <w:rFonts w:ascii="Arial" w:cs="Arial" w:eastAsia="Arial" w:hAnsi="Arial"/>
          <w:sz w:val="22"/>
          <w:szCs w:val="22"/>
        </w:rPr>
        <w:t xml:space="preserve">Registro de Recepción Conforme (bienes y servicios) como gate bloqueante para facturación.</w:t>
      </w:r>
    </w:p>
    <w:p>
      <w:pPr>
        <w:pStyle w:val="ListParagraph"/>
        <w:numPr>
          <w:ilvl w:val="0"/>
          <w:numId w:val="2"/>
        </w:numPr>
        <w:spacing w:after="40" w:before="40"/>
      </w:pPr>
      <w:r>
        <w:rPr>
          <w:rFonts w:ascii="Arial" w:cs="Arial" w:eastAsia="Arial" w:hAnsi="Arial"/>
          <w:sz w:val="22"/>
          <w:szCs w:val="22"/>
        </w:rPr>
        <w:t xml:space="preserve">Validación de factura DTE con matching 3-way contra OC y recepción.</w:t>
      </w:r>
    </w:p>
    <w:p>
      <w:pPr>
        <w:pStyle w:val="ListParagraph"/>
        <w:numPr>
          <w:ilvl w:val="0"/>
          <w:numId w:val="2"/>
        </w:numPr>
        <w:spacing w:after="40" w:before="40"/>
      </w:pPr>
      <w:r>
        <w:rPr>
          <w:rFonts w:ascii="Arial" w:cs="Arial" w:eastAsia="Arial" w:hAnsi="Arial"/>
          <w:sz w:val="22"/>
          <w:szCs w:val="22"/>
        </w:rPr>
        <w:t xml:space="preserve">Gestión de la ventana SII de 8 días hábiles con alertas y escalamiento.</w:t>
      </w:r>
    </w:p>
    <w:p>
      <w:pPr>
        <w:pStyle w:val="ListParagraph"/>
        <w:numPr>
          <w:ilvl w:val="0"/>
          <w:numId w:val="2"/>
        </w:numPr>
        <w:spacing w:after="40" w:before="40"/>
      </w:pPr>
      <w:r>
        <w:rPr>
          <w:rFonts w:ascii="Arial" w:cs="Arial" w:eastAsia="Arial" w:hAnsi="Arial"/>
          <w:sz w:val="22"/>
          <w:szCs w:val="22"/>
        </w:rPr>
        <w:t xml:space="preserve">Registro en libro de compras y vinculación a Cuenta por Pagar (CxP) en ERP.</w:t>
      </w:r>
    </w:p>
    <w:p>
      <w:pPr>
        <w:pStyle w:val="ListParagraph"/>
        <w:numPr>
          <w:ilvl w:val="0"/>
          <w:numId w:val="2"/>
        </w:numPr>
        <w:spacing w:after="40" w:before="40"/>
      </w:pPr>
      <w:r>
        <w:rPr>
          <w:rFonts w:ascii="Arial" w:cs="Arial" w:eastAsia="Arial" w:hAnsi="Arial"/>
          <w:sz w:val="22"/>
          <w:szCs w:val="22"/>
        </w:rPr>
        <w:t xml:space="preserve">Dashboard operativo de estado y métricas de desempeño.</w:t>
      </w:r>
    </w:p>
    <w:p>
      <w:pPr>
        <w:pStyle w:val="ListParagraph"/>
        <w:numPr>
          <w:ilvl w:val="0"/>
          <w:numId w:val="2"/>
        </w:numPr>
        <w:spacing w:after="40" w:before="40"/>
      </w:pPr>
      <w:r>
        <w:rPr>
          <w:rFonts w:ascii="Arial" w:cs="Arial" w:eastAsia="Arial" w:hAnsi="Arial"/>
          <w:sz w:val="22"/>
          <w:szCs w:val="22"/>
        </w:rPr>
        <w:t xml:space="preserve">Historial auditable completo e inmutable.</w:t>
      </w:r>
    </w:p>
    <w:p>
      <w:pPr>
        <w:pStyle w:val="Heading2"/>
        <w:spacing w:after="120" w:before="240"/>
      </w:pPr>
      <w:r>
        <w:rPr>
          <w:rFonts w:ascii="Arial" w:cs="Arial" w:eastAsia="Arial" w:hAnsi="Arial"/>
          <w:b/>
          <w:bCs/>
          <w:color w:val="1F4E79"/>
          <w:sz w:val="26"/>
          <w:szCs w:val="26"/>
        </w:rPr>
        <w:t xml:space="preserve">3.2 Fuera del alcance (Fase 1)</w:t>
      </w:r>
    </w:p>
    <w:p>
      <w:pPr>
        <w:pStyle w:val="ListParagraph"/>
        <w:numPr>
          <w:ilvl w:val="0"/>
          <w:numId w:val="2"/>
        </w:numPr>
        <w:spacing w:after="40" w:before="40"/>
      </w:pPr>
      <w:r>
        <w:rPr>
          <w:rFonts w:ascii="Arial" w:cs="Arial" w:eastAsia="Arial" w:hAnsi="Arial"/>
          <w:sz w:val="22"/>
          <w:szCs w:val="22"/>
        </w:rPr>
        <w:t xml:space="preserve">Gestión de proveedores avanzada (evaluación de desempeño, scoring, contratos marco).</w:t>
      </w:r>
    </w:p>
    <w:p>
      <w:pPr>
        <w:pStyle w:val="ListParagraph"/>
        <w:numPr>
          <w:ilvl w:val="0"/>
          <w:numId w:val="2"/>
        </w:numPr>
        <w:spacing w:after="40" w:before="40"/>
      </w:pPr>
      <w:r>
        <w:rPr>
          <w:rFonts w:ascii="Arial" w:cs="Arial" w:eastAsia="Arial" w:hAnsi="Arial"/>
          <w:sz w:val="22"/>
          <w:szCs w:val="22"/>
        </w:rPr>
        <w:t xml:space="preserve">Procesos de licitación competitiva formal.</w:t>
      </w:r>
    </w:p>
    <w:p>
      <w:pPr>
        <w:pStyle w:val="ListParagraph"/>
        <w:numPr>
          <w:ilvl w:val="0"/>
          <w:numId w:val="2"/>
        </w:numPr>
        <w:spacing w:after="40" w:before="40"/>
      </w:pPr>
      <w:r>
        <w:rPr>
          <w:rFonts w:ascii="Arial" w:cs="Arial" w:eastAsia="Arial" w:hAnsi="Arial"/>
          <w:sz w:val="22"/>
          <w:szCs w:val="22"/>
        </w:rPr>
        <w:t xml:space="preserve">Gestión de inventario post-recepción y bodega operativa.</w:t>
      </w:r>
    </w:p>
    <w:p>
      <w:pPr>
        <w:pStyle w:val="ListParagraph"/>
        <w:numPr>
          <w:ilvl w:val="0"/>
          <w:numId w:val="2"/>
        </w:numPr>
        <w:spacing w:after="40" w:before="40"/>
      </w:pPr>
      <w:r>
        <w:rPr>
          <w:rFonts w:ascii="Arial" w:cs="Arial" w:eastAsia="Arial" w:hAnsi="Arial"/>
          <w:sz w:val="22"/>
          <w:szCs w:val="22"/>
        </w:rPr>
        <w:t xml:space="preserve">Pago electrónico a proveedores (queda en ERP).</w:t>
      </w:r>
    </w:p>
    <w:p>
      <w:pPr>
        <w:pStyle w:val="ListParagraph"/>
        <w:numPr>
          <w:ilvl w:val="0"/>
          <w:numId w:val="2"/>
        </w:numPr>
        <w:spacing w:after="40" w:before="40"/>
      </w:pPr>
      <w:r>
        <w:rPr>
          <w:rFonts w:ascii="Arial" w:cs="Arial" w:eastAsia="Arial" w:hAnsi="Arial"/>
          <w:sz w:val="22"/>
          <w:szCs w:val="22"/>
        </w:rPr>
        <w:t xml:space="preserve">Migración histórica de OC anteriores al go-live.</w:t>
      </w:r>
    </w:p>
    <w:p>
      <w:pPr>
        <w:pStyle w:val="ListParagraph"/>
        <w:numPr>
          <w:ilvl w:val="0"/>
          <w:numId w:val="2"/>
        </w:numPr>
        <w:spacing w:after="40" w:before="40"/>
      </w:pPr>
      <w:r>
        <w:rPr>
          <w:rFonts w:ascii="Arial" w:cs="Arial" w:eastAsia="Arial" w:hAnsi="Arial"/>
          <w:sz w:val="22"/>
          <w:szCs w:val="22"/>
        </w:rPr>
        <w:t xml:space="preserve">Workflow de mantención de equipos (módulo SGP-MANT, especificación independiente).</w:t>
      </w:r>
    </w:p>
    <w:p>
      <w:pPr>
        <w:pStyle w:val="Heading2"/>
        <w:spacing w:after="120" w:before="240"/>
      </w:pPr>
      <w:r>
        <w:rPr>
          <w:rFonts w:ascii="Arial" w:cs="Arial" w:eastAsia="Arial" w:hAnsi="Arial"/>
          <w:b/>
          <w:bCs/>
          <w:color w:val="1F4E79"/>
          <w:sz w:val="26"/>
          <w:szCs w:val="26"/>
        </w:rPr>
        <w:t xml:space="preserve">3.3 Ciclo de vida completo de la adquisición</w:t>
      </w:r>
    </w:p>
    <w:p>
      <w:pPr>
        <w:spacing w:after="80" w:before="80"/>
        <w:jc w:val="both"/>
      </w:pPr>
      <w:r>
        <w:rPr>
          <w:rFonts w:ascii="Arial" w:cs="Arial" w:eastAsia="Arial" w:hAnsi="Arial"/>
          <w:b w:val="false"/>
          <w:bCs w:val="false"/>
          <w:i w:val="false"/>
          <w:iCs w:val="false"/>
          <w:color w:val="000000"/>
          <w:sz w:val="22"/>
          <w:szCs w:val="22"/>
        </w:rPr>
        <w:t xml:space="preserve">El sistema gestiona seis fases secuenciales con sus respectivos puntos de control. Cada transición queda registrada con fecha, hora, usuario y acción ejecutada.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560"/>
        <w:gridCol w:w="240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Fase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Etapa</w:t>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Descripción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Responsable</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Solicitud y Aprobación Inicial</w:t>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Se formaliza la necesidad como SC. Jefe de área aprueba en 1er nivel. Finanzas valida presupuesto.</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Solicitante / Jefe de Área / Finanzas</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Cotización</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Abastecimiento emite RFQ a proveedores y recibe cotizaciones estructuradas.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Abastecimiento / Proveedor</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3</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Valorización</w:t>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área revisa valorización y decide: aprobar, recotizar o rechazar.</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Área Solicitante</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4</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Emisión y Aprobación de OC</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Abastecimiento emite OC vinculada. Gerencia aprueba según matriz por monto. Se envía formalmente al proveedor.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Abastecimiento / Gerencia</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5</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Recepción Conforme</w:t>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Bodega recibe bienes o el solicitante valida servicios. Se emite Recepción Conforme en sistema.</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Bodega / Solicitante</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6</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Validación de Factura y CxP</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Finanzas ejecuta matching 3-way, acepta DTE, registra en libro de compras y como CxP en ERP.</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Finanzas / Control de Gestión</w:t>
            </w:r>
          </w:p>
        </w:tc>
      </w:tr>
    </w:tbl>
    <w:p>
      <w:pPr>
        <w:pStyle w:val="Heading1"/>
        <w:pageBreakBefore/>
        <w:spacing w:after="200" w:before="360"/>
      </w:pPr>
      <w:r>
        <w:rPr>
          <w:rFonts w:ascii="Arial" w:cs="Arial" w:eastAsia="Arial" w:hAnsi="Arial"/>
          <w:b/>
          <w:bCs/>
          <w:color w:val="1F4E79"/>
          <w:sz w:val="32"/>
          <w:szCs w:val="32"/>
        </w:rPr>
        <w:t xml:space="preserve">4. Arquitectura del Proceso TO-BE</w:t>
      </w:r>
    </w:p>
    <w:p>
      <w:pPr>
        <w:pStyle w:val="Heading2"/>
        <w:spacing w:after="120" w:before="240"/>
      </w:pPr>
      <w:r>
        <w:rPr>
          <w:rFonts w:ascii="Arial" w:cs="Arial" w:eastAsia="Arial" w:hAnsi="Arial"/>
          <w:b/>
          <w:bCs/>
          <w:color w:val="1F4E79"/>
          <w:sz w:val="26"/>
          <w:szCs w:val="26"/>
        </w:rPr>
        <w:t xml:space="preserve">4.1 Diagrama de referencia</w:t>
      </w:r>
    </w:p>
    <w:p>
      <w:pPr>
        <w:spacing w:after="80" w:before="80"/>
        <w:jc w:val="both"/>
      </w:pPr>
      <w:r>
        <w:rPr>
          <w:rFonts w:ascii="Arial" w:cs="Arial" w:eastAsia="Arial" w:hAnsi="Arial"/>
          <w:b w:val="false"/>
          <w:bCs w:val="false"/>
          <w:i w:val="false"/>
          <w:iCs w:val="false"/>
          <w:color w:val="000000"/>
          <w:sz w:val="22"/>
          <w:szCs w:val="22"/>
        </w:rPr>
        <w:t xml:space="preserve">El proceso TO-BE está formalizado en BPMN 2.0 con siete lanes internos y dos pools externos (Proveedor y SII). El diagrama de referencia es el archivo PROCESO_COMPRAS.bpm gestionado en Bizagi Modeler. Esta sección resume su estructura para ser utilizada como entrada al diseño del sistema.</w:t>
      </w:r>
    </w:p>
    <w:p>
      <w:pPr>
        <w:pStyle w:val="Heading2"/>
        <w:spacing w:after="120" w:before="240"/>
      </w:pPr>
      <w:r>
        <w:rPr>
          <w:rFonts w:ascii="Arial" w:cs="Arial" w:eastAsia="Arial" w:hAnsi="Arial"/>
          <w:b/>
          <w:bCs/>
          <w:color w:val="1F4E79"/>
          <w:sz w:val="26"/>
          <w:szCs w:val="26"/>
        </w:rPr>
        <w:t xml:space="preserve">4.2 Lanes del proceso (responsables internos)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Lane</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Rol</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Fase principal de actuación</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L1</w:t>
            </w:r>
          </w:p>
        </w:tc>
        <w:tc>
          <w:tcPr>
            <w:tcW w:type="dxa" w:w="3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Solicitante</w:t>
            </w:r>
          </w:p>
        </w:tc>
        <w:tc>
          <w:tcPr>
            <w:tcW w:type="dxa" w:w="51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1 (emisión de SC) y Fase 5 (recepción de servicios)</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L2</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Área Solicitante</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1 (aprobación 1er nivel) y Fase 3 (decisión sobre valorización)</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L3</w:t>
            </w:r>
          </w:p>
        </w:tc>
        <w:tc>
          <w:tcPr>
            <w:tcW w:type="dxa" w:w="3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Finanzas / Control de Gestión</w:t>
            </w:r>
          </w:p>
        </w:tc>
        <w:tc>
          <w:tcPr>
            <w:tcW w:type="dxa" w:w="51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1 (validación presupuestaria) y Fase 6 (matching y CxP)</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L4</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Abastecimiento</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2 (cotización) y Fase 4 (emisión y vinculación de OC)</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L5</w:t>
            </w:r>
          </w:p>
        </w:tc>
        <w:tc>
          <w:tcPr>
            <w:tcW w:type="dxa" w:w="3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Gerencia</w:t>
            </w:r>
          </w:p>
        </w:tc>
        <w:tc>
          <w:tcPr>
            <w:tcW w:type="dxa" w:w="51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4 (aprobación de OC según matriz por monto)</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L6</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Bodega / Almacén</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5 (recepción física y validación contra OC para bienes)</w:t>
            </w:r>
          </w:p>
        </w:tc>
      </w:tr>
    </w:tbl>
    <w:p>
      <w:pPr>
        <w:pStyle w:val="Heading2"/>
        <w:spacing w:after="120" w:before="240"/>
      </w:pPr>
      <w:r>
        <w:rPr>
          <w:rFonts w:ascii="Arial" w:cs="Arial" w:eastAsia="Arial" w:hAnsi="Arial"/>
          <w:b/>
          <w:bCs/>
          <w:color w:val="1F4E79"/>
          <w:sz w:val="26"/>
          <w:szCs w:val="26"/>
        </w:rPr>
        <w:t xml:space="preserve">4.3 Pools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Pool</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Entidad</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Tipo de interacción</w:t>
            </w:r>
          </w:p>
        </w:tc>
      </w:tr>
      <w:tr>
        <w:trPr>
          <w:tblHeader w:val="false"/>
        </w:trP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P-EXT1</w:t>
            </w:r>
          </w:p>
        </w:tc>
        <w:tc>
          <w:tcPr>
            <w:tcW w:type="dxa" w:w="3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Proveedor</w:t>
            </w:r>
          </w:p>
        </w:tc>
        <w:tc>
          <w:tcPr>
            <w:tcW w:type="dxa" w:w="5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Recibe RFQ → envía cotización → recibe OC → entrega bien o ejecuta servicio → emite DTE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P-EXT2</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SII (Servicio de Impuestos Internos)</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Recibe DTE del proveedor → notifica recepción → activa ventana de 8 días hábiles para aceptar o reclamar</w:t>
            </w:r>
          </w:p>
        </w:tc>
      </w:tr>
    </w:tbl>
    <w:p>
      <w:pPr>
        <w:pStyle w:val="Heading2"/>
        <w:spacing w:after="120" w:before="240"/>
      </w:pPr>
      <w:r>
        <w:rPr>
          <w:rFonts w:ascii="Arial" w:cs="Arial" w:eastAsia="Arial" w:hAnsi="Arial"/>
          <w:b/>
          <w:bCs/>
          <w:color w:val="1F4E79"/>
          <w:sz w:val="26"/>
          <w:szCs w:val="26"/>
        </w:rPr>
        <w:t xml:space="preserve">4.4 Eventos terminales del proceso</w:t>
      </w:r>
    </w:p>
    <w:p>
      <w:pPr>
        <w:spacing w:after="80" w:before="80"/>
        <w:jc w:val="both"/>
      </w:pPr>
      <w:r>
        <w:rPr>
          <w:rFonts w:ascii="Arial" w:cs="Arial" w:eastAsia="Arial" w:hAnsi="Arial"/>
          <w:b w:val="false"/>
          <w:bCs w:val="false"/>
          <w:i w:val="false"/>
          <w:iCs w:val="false"/>
          <w:color w:val="000000"/>
          <w:sz w:val="22"/>
          <w:szCs w:val="22"/>
        </w:rPr>
        <w:t xml:space="preserve">El proceso tiene un evento de éxito y cinco eventos de salida por excepción. Cada uno deja la solicitud en un estado terminal trazable.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3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Evento</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Origen</w:t>
            </w:r>
          </w:p>
        </w:tc>
        <w:tc>
          <w:tcPr>
            <w:tcW w:type="dxa" w:w="3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Significado</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E1</w:t>
            </w:r>
          </w:p>
        </w:tc>
        <w:tc>
          <w:tcPr>
            <w:tcW w:type="dxa" w:w="3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SC Rechazada en aprobación inicial</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1 — Jefe de Área</w:t>
            </w:r>
          </w:p>
        </w:tc>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El jefe de área no aprueba la SC.</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E2</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SC sin Presupuesto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1 — Finanzas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Sin presupuesto disponible y sin autorización superior. SC pasa a proceso de aprobación especial.</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E3</w:t>
            </w:r>
          </w:p>
        </w:tc>
        <w:tc>
          <w:tcPr>
            <w:tcW w:type="dxa" w:w="3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SC Rechazada en valorización</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3 — Jefe de Área</w:t>
            </w:r>
          </w:p>
        </w:tc>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Se rechaza la valorización después de cotización.</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E4</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OC Rechazada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4 — Gerencia</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El nivel de aprobación correspondiente no aprueba la OC.</w:t>
            </w:r>
          </w:p>
        </w:tc>
      </w:tr>
      <w:tr>
        <w:trPr>
          <w:tblHeader w:val="false"/>
        </w:trP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E5</w:t>
            </w:r>
          </w:p>
        </w:tc>
        <w:tc>
          <w:tcPr>
            <w:tcW w:type="dxa" w:w="3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Adquisición No Conforme</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5 — Bodega o Solicitante</w:t>
            </w:r>
          </w:p>
        </w:tc>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Recepción no conforme. Se gestiona devolución o reclamo.</w:t>
            </w:r>
          </w:p>
        </w:tc>
      </w:tr>
      <w:tr>
        <w:trPr>
          <w:tblHeader w:val="false"/>
        </w:trPr>
        <w:tc>
          <w:tcPr>
            <w:tcW w:type="dxa" w:w="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E6</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Proceso Cerrado con CxP Registrada</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6 — Finanzas</w:t>
            </w:r>
          </w:p>
        </w:tc>
        <w:tc>
          <w:tcPr>
            <w:tcW w:type="dxa" w:w="33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Cierre formal exitoso del proceso de compra.</w:t>
            </w:r>
          </w:p>
        </w:tc>
      </w:tr>
    </w:tbl>
    <w:p>
      <w:pPr>
        <w:pStyle w:val="Heading1"/>
        <w:pageBreakBefore/>
        <w:spacing w:after="200" w:before="360"/>
      </w:pPr>
      <w:r>
        <w:rPr>
          <w:rFonts w:ascii="Arial" w:cs="Arial" w:eastAsia="Arial" w:hAnsi="Arial"/>
          <w:b/>
          <w:bCs/>
          <w:color w:val="1F4E79"/>
          <w:sz w:val="32"/>
          <w:szCs w:val="32"/>
        </w:rPr>
        <w:t xml:space="preserve">5. Roles, Usuarios y Permisos</w:t>
      </w:r>
    </w:p>
    <w:p>
      <w:pPr>
        <w:spacing w:after="80" w:before="80"/>
        <w:jc w:val="both"/>
      </w:pPr>
      <w:r>
        <w:rPr>
          <w:rFonts w:ascii="Arial" w:cs="Arial" w:eastAsia="Arial" w:hAnsi="Arial"/>
          <w:b w:val="false"/>
          <w:bCs w:val="false"/>
          <w:i w:val="false"/>
          <w:iCs w:val="false"/>
          <w:color w:val="000000"/>
          <w:sz w:val="22"/>
          <w:szCs w:val="22"/>
        </w:rPr>
        <w:t xml:space="preserve">El sistema opera con nueve roles diferenciados, alineados a los lanes del BPMN más roles transversales del sistema. Un usuario puede tener más de un rol según la configuración organizacional.</w:t>
      </w:r>
    </w:p>
    <w:p>
      <w:pPr>
        <w:pStyle w:val="Heading2"/>
        <w:spacing w:after="120" w:before="240"/>
      </w:pPr>
      <w:r>
        <w:rPr>
          <w:rFonts w:ascii="Arial" w:cs="Arial" w:eastAsia="Arial" w:hAnsi="Arial"/>
          <w:b/>
          <w:bCs/>
          <w:color w:val="1F4E79"/>
          <w:sz w:val="26"/>
          <w:szCs w:val="26"/>
        </w:rPr>
        <w:t xml:space="preserve">5.1 Solicitante (L1)</w:t>
      </w:r>
    </w:p>
    <w:p>
      <w:pPr>
        <w:spacing w:after="80" w:before="80"/>
        <w:jc w:val="both"/>
      </w:pPr>
      <w:r>
        <w:rPr>
          <w:rFonts w:ascii="Arial" w:cs="Arial" w:eastAsia="Arial" w:hAnsi="Arial"/>
          <w:b w:val="false"/>
          <w:bCs w:val="false"/>
          <w:i w:val="false"/>
          <w:iCs w:val="false"/>
          <w:color w:val="000000"/>
          <w:sz w:val="22"/>
          <w:szCs w:val="22"/>
        </w:rPr>
        <w:t xml:space="preserve">Ejemplos: Operador, Mecánico, Supervisor de Turno, Planificador, Coordinador de área.</w:t>
      </w:r>
    </w:p>
    <w:p>
      <w:pPr>
        <w:spacing w:after="80" w:before="80"/>
        <w:jc w:val="both"/>
      </w:pPr>
      <w:r>
        <w:rPr>
          <w:rFonts w:ascii="Arial" w:cs="Arial" w:eastAsia="Arial" w:hAnsi="Arial"/>
          <w:b w:val="false"/>
          <w:bCs w:val="false"/>
          <w:i w:val="false"/>
          <w:iCs w:val="false"/>
          <w:color w:val="000000"/>
          <w:sz w:val="22"/>
          <w:szCs w:val="22"/>
        </w:rPr>
        <w:t xml:space="preserve">Función: Detecta una necesidad operativa y emite formalmente la Solicitud de Compra (SC) con datos estructurados.</w:t>
      </w:r>
    </w:p>
    <w:p>
      <w:pPr>
        <w:pStyle w:val="Heading3"/>
        <w:spacing w:after="80" w:before="180"/>
      </w:pPr>
      <w:r>
        <w:rPr>
          <w:rFonts w:ascii="Arial" w:cs="Arial" w:eastAsia="Arial" w:hAnsi="Arial"/>
          <w:b/>
          <w:bCs/>
          <w:color w:val="2E75B6"/>
          <w:sz w:val="22"/>
          <w:szCs w:val="22"/>
        </w:rPr>
        <w:t xml:space="preserve">Permisos</w:t>
      </w:r>
    </w:p>
    <w:p>
      <w:pPr>
        <w:pStyle w:val="ListParagraph"/>
        <w:numPr>
          <w:ilvl w:val="0"/>
          <w:numId w:val="2"/>
        </w:numPr>
        <w:spacing w:after="40" w:before="40"/>
      </w:pPr>
      <w:r>
        <w:rPr>
          <w:rFonts w:ascii="Arial" w:cs="Arial" w:eastAsia="Arial" w:hAnsi="Arial"/>
          <w:sz w:val="22"/>
          <w:szCs w:val="22"/>
        </w:rPr>
        <w:t xml:space="preserve">Crear SC con campos obligatorios: descripción, ítem del catálogo (SKU), cantidad, fecha requerida, centro de costo, tipo (bien/servicio), urgencia, especificaciones técnicas.</w:t>
      </w:r>
    </w:p>
    <w:p>
      <w:pPr>
        <w:pStyle w:val="ListParagraph"/>
        <w:numPr>
          <w:ilvl w:val="0"/>
          <w:numId w:val="2"/>
        </w:numPr>
        <w:spacing w:after="40" w:before="40"/>
      </w:pPr>
      <w:r>
        <w:rPr>
          <w:rFonts w:ascii="Arial" w:cs="Arial" w:eastAsia="Arial" w:hAnsi="Arial"/>
          <w:sz w:val="22"/>
          <w:szCs w:val="22"/>
        </w:rPr>
        <w:t xml:space="preserve">Adjuntar documentos de respaldo (fotos, especificaciones, manuales).</w:t>
      </w:r>
    </w:p>
    <w:p>
      <w:pPr>
        <w:pStyle w:val="ListParagraph"/>
        <w:numPr>
          <w:ilvl w:val="0"/>
          <w:numId w:val="2"/>
        </w:numPr>
        <w:spacing w:after="40" w:before="40"/>
      </w:pPr>
      <w:r>
        <w:rPr>
          <w:rFonts w:ascii="Arial" w:cs="Arial" w:eastAsia="Arial" w:hAnsi="Arial"/>
          <w:sz w:val="22"/>
          <w:szCs w:val="22"/>
        </w:rPr>
        <w:t xml:space="preserve">Editar SC en estado Borrador o Rechazada (para reenvío).</w:t>
      </w:r>
    </w:p>
    <w:p>
      <w:pPr>
        <w:pStyle w:val="ListParagraph"/>
        <w:numPr>
          <w:ilvl w:val="0"/>
          <w:numId w:val="2"/>
        </w:numPr>
        <w:spacing w:after="40" w:before="40"/>
      </w:pPr>
      <w:r>
        <w:rPr>
          <w:rFonts w:ascii="Arial" w:cs="Arial" w:eastAsia="Arial" w:hAnsi="Arial"/>
          <w:sz w:val="22"/>
          <w:szCs w:val="22"/>
        </w:rPr>
        <w:t xml:space="preserve">Validar ejecución de servicios y emitir Acta de Recepción Conforme firmada (Fase 5).</w:t>
      </w:r>
    </w:p>
    <w:p>
      <w:pPr>
        <w:pStyle w:val="ListParagraph"/>
        <w:numPr>
          <w:ilvl w:val="0"/>
          <w:numId w:val="2"/>
        </w:numPr>
        <w:spacing w:after="40" w:before="40"/>
      </w:pPr>
      <w:r>
        <w:rPr>
          <w:rFonts w:ascii="Arial" w:cs="Arial" w:eastAsia="Arial" w:hAnsi="Arial"/>
          <w:sz w:val="22"/>
          <w:szCs w:val="22"/>
        </w:rPr>
        <w:t xml:space="preserve">Registrar no conformidad de servicios y solicitar reclamo a proveedor.</w:t>
      </w:r>
    </w:p>
    <w:p>
      <w:pPr>
        <w:pStyle w:val="ListParagraph"/>
        <w:numPr>
          <w:ilvl w:val="0"/>
          <w:numId w:val="2"/>
        </w:numPr>
        <w:spacing w:after="40" w:before="40"/>
      </w:pPr>
      <w:r>
        <w:rPr>
          <w:rFonts w:ascii="Arial" w:cs="Arial" w:eastAsia="Arial" w:hAnsi="Arial"/>
          <w:sz w:val="22"/>
          <w:szCs w:val="22"/>
        </w:rPr>
        <w:t xml:space="preserve">Visualizar trazabilidad completa de sus propias SC.</w:t>
      </w:r>
    </w:p>
    <w:p>
      <w:pPr>
        <w:pStyle w:val="Heading2"/>
        <w:spacing w:after="120" w:before="240"/>
      </w:pPr>
      <w:r>
        <w:rPr>
          <w:rFonts w:ascii="Arial" w:cs="Arial" w:eastAsia="Arial" w:hAnsi="Arial"/>
          <w:b/>
          <w:bCs/>
          <w:color w:val="1F4E79"/>
          <w:sz w:val="26"/>
          <w:szCs w:val="26"/>
        </w:rPr>
        <w:t xml:space="preserve">5.2 Jefe de Área Solicitante (L2)</w:t>
      </w:r>
    </w:p>
    <w:p>
      <w:pPr>
        <w:spacing w:after="80" w:before="80"/>
        <w:jc w:val="both"/>
      </w:pPr>
      <w:r>
        <w:rPr>
          <w:rFonts w:ascii="Arial" w:cs="Arial" w:eastAsia="Arial" w:hAnsi="Arial"/>
          <w:b w:val="false"/>
          <w:bCs w:val="false"/>
          <w:i w:val="false"/>
          <w:iCs w:val="false"/>
          <w:color w:val="000000"/>
          <w:sz w:val="22"/>
          <w:szCs w:val="22"/>
        </w:rPr>
        <w:t xml:space="preserve">Ejemplos: Jefe de Taller, Jefe de Área, Supervisor Responsable, Jefe de Mantenimiento.</w:t>
      </w:r>
    </w:p>
    <w:p>
      <w:pPr>
        <w:spacing w:after="80" w:before="80"/>
        <w:jc w:val="both"/>
      </w:pPr>
      <w:r>
        <w:rPr>
          <w:rFonts w:ascii="Arial" w:cs="Arial" w:eastAsia="Arial" w:hAnsi="Arial"/>
          <w:b w:val="false"/>
          <w:bCs w:val="false"/>
          <w:i w:val="false"/>
          <w:iCs w:val="false"/>
          <w:color w:val="000000"/>
          <w:sz w:val="22"/>
          <w:szCs w:val="22"/>
        </w:rPr>
        <w:t xml:space="preserve">Función: Aprueba la SC en primer nivel y decide sobre la valorización post-cotización.</w:t>
      </w:r>
    </w:p>
    <w:p>
      <w:pPr>
        <w:pStyle w:val="Heading3"/>
        <w:spacing w:after="80" w:before="180"/>
      </w:pPr>
      <w:r>
        <w:rPr>
          <w:rFonts w:ascii="Arial" w:cs="Arial" w:eastAsia="Arial" w:hAnsi="Arial"/>
          <w:b/>
          <w:bCs/>
          <w:color w:val="2E75B6"/>
          <w:sz w:val="22"/>
          <w:szCs w:val="22"/>
        </w:rPr>
        <w:t xml:space="preserve">Permisos</w:t>
      </w:r>
    </w:p>
    <w:p>
      <w:pPr>
        <w:pStyle w:val="ListParagraph"/>
        <w:numPr>
          <w:ilvl w:val="0"/>
          <w:numId w:val="2"/>
        </w:numPr>
        <w:spacing w:after="40" w:before="40"/>
      </w:pPr>
      <w:r>
        <w:rPr>
          <w:rFonts w:ascii="Arial" w:cs="Arial" w:eastAsia="Arial" w:hAnsi="Arial"/>
          <w:sz w:val="22"/>
          <w:szCs w:val="22"/>
        </w:rPr>
        <w:t xml:space="preserve">Aprobar o rechazar SC con comentario obligatorio en caso de rechazo (Fase 1).</w:t>
      </w:r>
    </w:p>
    <w:p>
      <w:pPr>
        <w:pStyle w:val="ListParagraph"/>
        <w:numPr>
          <w:ilvl w:val="0"/>
          <w:numId w:val="2"/>
        </w:numPr>
        <w:spacing w:after="40" w:before="40"/>
      </w:pPr>
      <w:r>
        <w:rPr>
          <w:rFonts w:ascii="Arial" w:cs="Arial" w:eastAsia="Arial" w:hAnsi="Arial"/>
          <w:sz w:val="22"/>
          <w:szCs w:val="22"/>
        </w:rPr>
        <w:t xml:space="preserve">Revisar valorización y antecedentes de cotización (Fase 3).</w:t>
      </w:r>
    </w:p>
    <w:p>
      <w:pPr>
        <w:pStyle w:val="ListParagraph"/>
        <w:numPr>
          <w:ilvl w:val="0"/>
          <w:numId w:val="2"/>
        </w:numPr>
        <w:spacing w:after="40" w:before="40"/>
      </w:pPr>
      <w:r>
        <w:rPr>
          <w:rFonts w:ascii="Arial" w:cs="Arial" w:eastAsia="Arial" w:hAnsi="Arial"/>
          <w:sz w:val="22"/>
          <w:szCs w:val="22"/>
        </w:rPr>
        <w:t xml:space="preserve">Decidir entre tres opciones sobre la valorización: APROBAR, RECOTIZAR (con feedback), RECHAZAR.</w:t>
      </w:r>
    </w:p>
    <w:p>
      <w:pPr>
        <w:pStyle w:val="ListParagraph"/>
        <w:numPr>
          <w:ilvl w:val="0"/>
          <w:numId w:val="2"/>
        </w:numPr>
        <w:spacing w:after="40" w:before="40"/>
      </w:pPr>
      <w:r>
        <w:rPr>
          <w:rFonts w:ascii="Arial" w:cs="Arial" w:eastAsia="Arial" w:hAnsi="Arial"/>
          <w:sz w:val="22"/>
          <w:szCs w:val="22"/>
        </w:rPr>
        <w:t xml:space="preserve">Visualizar todas las SC del área a su cargo.</w:t>
      </w:r>
    </w:p>
    <w:p>
      <w:pPr>
        <w:pStyle w:val="ListParagraph"/>
        <w:numPr>
          <w:ilvl w:val="0"/>
          <w:numId w:val="2"/>
        </w:numPr>
        <w:spacing w:after="40" w:before="40"/>
      </w:pPr>
      <w:r>
        <w:rPr>
          <w:rFonts w:ascii="Arial" w:cs="Arial" w:eastAsia="Arial" w:hAnsi="Arial"/>
          <w:sz w:val="22"/>
          <w:szCs w:val="22"/>
        </w:rPr>
        <w:t xml:space="preserve">Acceder a reportes de gasto del área.</w:t>
      </w:r>
    </w:p>
    <w:p>
      <w:pPr>
        <w:pStyle w:val="Heading2"/>
        <w:spacing w:after="120" w:before="240"/>
      </w:pPr>
      <w:r>
        <w:rPr>
          <w:rFonts w:ascii="Arial" w:cs="Arial" w:eastAsia="Arial" w:hAnsi="Arial"/>
          <w:b/>
          <w:bCs/>
          <w:color w:val="1F4E79"/>
          <w:sz w:val="26"/>
          <w:szCs w:val="26"/>
        </w:rPr>
        <w:t xml:space="preserve">5.3 Finanzas / Control de Gestión (L3)</w:t>
      </w:r>
    </w:p>
    <w:p>
      <w:pPr>
        <w:spacing w:after="80" w:before="80"/>
        <w:jc w:val="both"/>
      </w:pPr>
      <w:r>
        <w:rPr>
          <w:rFonts w:ascii="Arial" w:cs="Arial" w:eastAsia="Arial" w:hAnsi="Arial"/>
          <w:b w:val="false"/>
          <w:bCs w:val="false"/>
          <w:i w:val="false"/>
          <w:iCs w:val="false"/>
          <w:color w:val="000000"/>
          <w:sz w:val="22"/>
          <w:szCs w:val="22"/>
        </w:rPr>
        <w:t xml:space="preserve">Función: Valida disponibilidad presupuestaria y ejecuta el cierre financiero del ciclo mediante matching 3-way y registro contable.</w:t>
      </w:r>
    </w:p>
    <w:p>
      <w:pPr>
        <w:pStyle w:val="Heading3"/>
        <w:spacing w:after="80" w:before="180"/>
      </w:pPr>
      <w:r>
        <w:rPr>
          <w:rFonts w:ascii="Arial" w:cs="Arial" w:eastAsia="Arial" w:hAnsi="Arial"/>
          <w:b/>
          <w:bCs/>
          <w:color w:val="2E75B6"/>
          <w:sz w:val="22"/>
          <w:szCs w:val="22"/>
        </w:rPr>
        <w:t xml:space="preserve">Permisos</w:t>
      </w:r>
    </w:p>
    <w:p>
      <w:pPr>
        <w:pStyle w:val="ListParagraph"/>
        <w:numPr>
          <w:ilvl w:val="0"/>
          <w:numId w:val="2"/>
        </w:numPr>
        <w:spacing w:after="40" w:before="40"/>
      </w:pPr>
      <w:r>
        <w:rPr>
          <w:rFonts w:ascii="Arial" w:cs="Arial" w:eastAsia="Arial" w:hAnsi="Arial"/>
          <w:sz w:val="22"/>
          <w:szCs w:val="22"/>
        </w:rPr>
        <w:t xml:space="preserve">Verificar disponibilidad presupuestaria contra centro de costo (Fase 1).</w:t>
      </w:r>
    </w:p>
    <w:p>
      <w:pPr>
        <w:pStyle w:val="ListParagraph"/>
        <w:numPr>
          <w:ilvl w:val="0"/>
          <w:numId w:val="2"/>
        </w:numPr>
        <w:spacing w:after="40" w:before="40"/>
      </w:pPr>
      <w:r>
        <w:rPr>
          <w:rFonts w:ascii="Arial" w:cs="Arial" w:eastAsia="Arial" w:hAnsi="Arial"/>
          <w:sz w:val="22"/>
          <w:szCs w:val="22"/>
        </w:rPr>
        <w:t xml:space="preserve">Liberar SC si hay presupuesto, o congelar y escalar a autorización superior.</w:t>
      </w:r>
    </w:p>
    <w:p>
      <w:pPr>
        <w:pStyle w:val="ListParagraph"/>
        <w:numPr>
          <w:ilvl w:val="0"/>
          <w:numId w:val="2"/>
        </w:numPr>
        <w:spacing w:after="40" w:before="40"/>
      </w:pPr>
      <w:r>
        <w:rPr>
          <w:rFonts w:ascii="Arial" w:cs="Arial" w:eastAsia="Arial" w:hAnsi="Arial"/>
          <w:sz w:val="22"/>
          <w:szCs w:val="22"/>
        </w:rPr>
        <w:t xml:space="preserve">Acceder al matching 3-way: ¿Existe OC? ¿Existe Recepción Conforme? ¿Montos coinciden?</w:t>
      </w:r>
    </w:p>
    <w:p>
      <w:pPr>
        <w:pStyle w:val="ListParagraph"/>
        <w:numPr>
          <w:ilvl w:val="0"/>
          <w:numId w:val="2"/>
        </w:numPr>
        <w:spacing w:after="40" w:before="40"/>
      </w:pPr>
      <w:r>
        <w:rPr>
          <w:rFonts w:ascii="Arial" w:cs="Arial" w:eastAsia="Arial" w:hAnsi="Arial"/>
          <w:sz w:val="22"/>
          <w:szCs w:val="22"/>
        </w:rPr>
        <w:t xml:space="preserve">Aceptar o reclamar facturas DTE dentro de la ventana de 8 días hábiles SII.</w:t>
      </w:r>
    </w:p>
    <w:p>
      <w:pPr>
        <w:pStyle w:val="ListParagraph"/>
        <w:numPr>
          <w:ilvl w:val="0"/>
          <w:numId w:val="2"/>
        </w:numPr>
        <w:spacing w:after="40" w:before="40"/>
      </w:pPr>
      <w:r>
        <w:rPr>
          <w:rFonts w:ascii="Arial" w:cs="Arial" w:eastAsia="Arial" w:hAnsi="Arial"/>
          <w:sz w:val="22"/>
          <w:szCs w:val="22"/>
        </w:rPr>
        <w:t xml:space="preserve">Registrar facturas en libro de compras y como CxP en ERP.</w:t>
      </w:r>
    </w:p>
    <w:p>
      <w:pPr>
        <w:pStyle w:val="ListParagraph"/>
        <w:numPr>
          <w:ilvl w:val="0"/>
          <w:numId w:val="2"/>
        </w:numPr>
        <w:spacing w:after="40" w:before="40"/>
      </w:pPr>
      <w:r>
        <w:rPr>
          <w:rFonts w:ascii="Arial" w:cs="Arial" w:eastAsia="Arial" w:hAnsi="Arial"/>
          <w:sz w:val="22"/>
          <w:szCs w:val="22"/>
        </w:rPr>
        <w:t xml:space="preserve">Visualizar consumo presupuestario en tiempo real por centro de costo, período, empresa y tipo.</w:t>
      </w:r>
    </w:p>
    <w:p>
      <w:pPr>
        <w:pStyle w:val="ListParagraph"/>
        <w:numPr>
          <w:ilvl w:val="0"/>
          <w:numId w:val="2"/>
        </w:numPr>
        <w:spacing w:after="40" w:before="40"/>
      </w:pPr>
      <w:r>
        <w:rPr>
          <w:rFonts w:ascii="Arial" w:cs="Arial" w:eastAsia="Arial" w:hAnsi="Arial"/>
          <w:sz w:val="22"/>
          <w:szCs w:val="22"/>
        </w:rPr>
        <w:t xml:space="preserve">Acceso a todos los reportes financieros del sistema.</w:t>
      </w:r>
    </w:p>
    <w:p>
      <w:pPr>
        <w:pStyle w:val="Heading2"/>
        <w:spacing w:after="120" w:before="240"/>
      </w:pPr>
      <w:r>
        <w:rPr>
          <w:rFonts w:ascii="Arial" w:cs="Arial" w:eastAsia="Arial" w:hAnsi="Arial"/>
          <w:b/>
          <w:bCs/>
          <w:color w:val="1F4E79"/>
          <w:sz w:val="26"/>
          <w:szCs w:val="26"/>
        </w:rPr>
        <w:t xml:space="preserve">5.4 Abastecimiento / Comprador (L4)</w:t>
      </w:r>
    </w:p>
    <w:p>
      <w:pPr>
        <w:spacing w:after="80" w:before="80"/>
        <w:jc w:val="both"/>
      </w:pPr>
      <w:r>
        <w:rPr>
          <w:rFonts w:ascii="Arial" w:cs="Arial" w:eastAsia="Arial" w:hAnsi="Arial"/>
          <w:b w:val="false"/>
          <w:bCs w:val="false"/>
          <w:i w:val="false"/>
          <w:iCs w:val="false"/>
          <w:color w:val="000000"/>
          <w:sz w:val="22"/>
          <w:szCs w:val="22"/>
        </w:rPr>
        <w:t xml:space="preserve">Ejemplos: Encargado de Compras, Comprador, Jefe de Abastecimiento.</w:t>
      </w:r>
    </w:p>
    <w:p>
      <w:pPr>
        <w:spacing w:after="80" w:before="80"/>
        <w:jc w:val="both"/>
      </w:pPr>
      <w:r>
        <w:rPr>
          <w:rFonts w:ascii="Arial" w:cs="Arial" w:eastAsia="Arial" w:hAnsi="Arial"/>
          <w:b w:val="false"/>
          <w:bCs w:val="false"/>
          <w:i w:val="false"/>
          <w:iCs w:val="false"/>
          <w:color w:val="000000"/>
          <w:sz w:val="22"/>
          <w:szCs w:val="22"/>
        </w:rPr>
        <w:t xml:space="preserve">Función: Ejecuta el proceso de cotización con proveedores y emite la Orden de Compra.</w:t>
      </w:r>
    </w:p>
    <w:p>
      <w:pPr>
        <w:pStyle w:val="Heading3"/>
        <w:spacing w:after="80" w:before="180"/>
      </w:pPr>
      <w:r>
        <w:rPr>
          <w:rFonts w:ascii="Arial" w:cs="Arial" w:eastAsia="Arial" w:hAnsi="Arial"/>
          <w:b/>
          <w:bCs/>
          <w:color w:val="2E75B6"/>
          <w:sz w:val="22"/>
          <w:szCs w:val="22"/>
        </w:rPr>
        <w:t xml:space="preserve">Permisos</w:t>
      </w:r>
    </w:p>
    <w:p>
      <w:pPr>
        <w:pStyle w:val="ListParagraph"/>
        <w:numPr>
          <w:ilvl w:val="0"/>
          <w:numId w:val="2"/>
        </w:numPr>
        <w:spacing w:after="40" w:before="40"/>
      </w:pPr>
      <w:r>
        <w:rPr>
          <w:rFonts w:ascii="Arial" w:cs="Arial" w:eastAsia="Arial" w:hAnsi="Arial"/>
          <w:sz w:val="22"/>
          <w:szCs w:val="22"/>
        </w:rPr>
        <w:t xml:space="preserve">Recibir SC con presupuesto liberado en bandeja de cotización.</w:t>
      </w:r>
    </w:p>
    <w:p>
      <w:pPr>
        <w:pStyle w:val="ListParagraph"/>
        <w:numPr>
          <w:ilvl w:val="0"/>
          <w:numId w:val="2"/>
        </w:numPr>
        <w:spacing w:after="40" w:before="40"/>
      </w:pPr>
      <w:r>
        <w:rPr>
          <w:rFonts w:ascii="Arial" w:cs="Arial" w:eastAsia="Arial" w:hAnsi="Arial"/>
          <w:sz w:val="22"/>
          <w:szCs w:val="22"/>
        </w:rPr>
        <w:t xml:space="preserve">Identificar proveedores y emitir RFQ con datos estructurados.</w:t>
      </w:r>
    </w:p>
    <w:p>
      <w:pPr>
        <w:pStyle w:val="ListParagraph"/>
        <w:numPr>
          <w:ilvl w:val="0"/>
          <w:numId w:val="2"/>
        </w:numPr>
        <w:spacing w:after="40" w:before="40"/>
      </w:pPr>
      <w:r>
        <w:rPr>
          <w:rFonts w:ascii="Arial" w:cs="Arial" w:eastAsia="Arial" w:hAnsi="Arial"/>
          <w:sz w:val="22"/>
          <w:szCs w:val="22"/>
        </w:rPr>
        <w:t xml:space="preserve">Registrar cotizaciones recibidas (proveedor, precio, plazo, condiciones, validez, archivo).</w:t>
      </w:r>
    </w:p>
    <w:p>
      <w:pPr>
        <w:pStyle w:val="ListParagraph"/>
        <w:numPr>
          <w:ilvl w:val="0"/>
          <w:numId w:val="2"/>
        </w:numPr>
        <w:spacing w:after="40" w:before="40"/>
      </w:pPr>
      <w:r>
        <w:rPr>
          <w:rFonts w:ascii="Arial" w:cs="Arial" w:eastAsia="Arial" w:hAnsi="Arial"/>
          <w:sz w:val="22"/>
          <w:szCs w:val="22"/>
        </w:rPr>
        <w:t xml:space="preserve">Comparar cotizaciones cuando hay más de una.</w:t>
      </w:r>
    </w:p>
    <w:p>
      <w:pPr>
        <w:pStyle w:val="ListParagraph"/>
        <w:numPr>
          <w:ilvl w:val="0"/>
          <w:numId w:val="2"/>
        </w:numPr>
        <w:spacing w:after="40" w:before="40"/>
      </w:pPr>
      <w:r>
        <w:rPr>
          <w:rFonts w:ascii="Arial" w:cs="Arial" w:eastAsia="Arial" w:hAnsi="Arial"/>
          <w:sz w:val="22"/>
          <w:szCs w:val="22"/>
        </w:rPr>
        <w:t xml:space="preserve">Generar y enviar Valorización al Jefe de Área Solicitante.</w:t>
      </w:r>
    </w:p>
    <w:p>
      <w:pPr>
        <w:pStyle w:val="ListParagraph"/>
        <w:numPr>
          <w:ilvl w:val="0"/>
          <w:numId w:val="2"/>
        </w:numPr>
        <w:spacing w:after="40" w:before="40"/>
      </w:pPr>
      <w:r>
        <w:rPr>
          <w:rFonts w:ascii="Arial" w:cs="Arial" w:eastAsia="Arial" w:hAnsi="Arial"/>
          <w:sz w:val="22"/>
          <w:szCs w:val="22"/>
        </w:rPr>
        <w:t xml:space="preserve">Emitir OC vinculada inmutablemente a SC y cotización ganadora.</w:t>
      </w:r>
    </w:p>
    <w:p>
      <w:pPr>
        <w:pStyle w:val="ListParagraph"/>
        <w:numPr>
          <w:ilvl w:val="0"/>
          <w:numId w:val="2"/>
        </w:numPr>
        <w:spacing w:after="40" w:before="40"/>
      </w:pPr>
      <w:r>
        <w:rPr>
          <w:rFonts w:ascii="Arial" w:cs="Arial" w:eastAsia="Arial" w:hAnsi="Arial"/>
          <w:sz w:val="22"/>
          <w:szCs w:val="22"/>
        </w:rPr>
        <w:t xml:space="preserve">Enviar OC formal al proveedor (post aprobación).</w:t>
      </w:r>
    </w:p>
    <w:p>
      <w:pPr>
        <w:pStyle w:val="Heading2"/>
        <w:spacing w:after="120" w:before="240"/>
      </w:pPr>
      <w:r>
        <w:rPr>
          <w:rFonts w:ascii="Arial" w:cs="Arial" w:eastAsia="Arial" w:hAnsi="Arial"/>
          <w:b/>
          <w:bCs/>
          <w:color w:val="1F4E79"/>
          <w:sz w:val="26"/>
          <w:szCs w:val="26"/>
        </w:rPr>
        <w:t xml:space="preserve">5.5 Gerencia (L5)</w:t>
      </w:r>
    </w:p>
    <w:p>
      <w:pPr>
        <w:spacing w:after="80" w:before="80"/>
        <w:jc w:val="both"/>
      </w:pPr>
      <w:r>
        <w:rPr>
          <w:rFonts w:ascii="Arial" w:cs="Arial" w:eastAsia="Arial" w:hAnsi="Arial"/>
          <w:b w:val="false"/>
          <w:bCs w:val="false"/>
          <w:i w:val="false"/>
          <w:iCs w:val="false"/>
          <w:color w:val="000000"/>
          <w:sz w:val="22"/>
          <w:szCs w:val="22"/>
        </w:rPr>
        <w:t xml:space="preserve">Ejemplos: Gerente de Operaciones, Gerente de Finanzas, Gerente General.</w:t>
      </w:r>
    </w:p>
    <w:p>
      <w:pPr>
        <w:spacing w:after="80" w:before="80"/>
        <w:jc w:val="both"/>
      </w:pPr>
      <w:r>
        <w:rPr>
          <w:rFonts w:ascii="Arial" w:cs="Arial" w:eastAsia="Arial" w:hAnsi="Arial"/>
          <w:b w:val="false"/>
          <w:bCs w:val="false"/>
          <w:i w:val="false"/>
          <w:iCs w:val="false"/>
          <w:color w:val="000000"/>
          <w:sz w:val="22"/>
          <w:szCs w:val="22"/>
        </w:rPr>
        <w:t xml:space="preserve">Función: Aprueba digitalmente la Orden de Compra según la matriz de aprobación por monto.</w:t>
      </w:r>
    </w:p>
    <w:p>
      <w:pPr>
        <w:pStyle w:val="Heading3"/>
        <w:spacing w:after="80" w:before="180"/>
      </w:pPr>
      <w:r>
        <w:rPr>
          <w:rFonts w:ascii="Arial" w:cs="Arial" w:eastAsia="Arial" w:hAnsi="Arial"/>
          <w:b/>
          <w:bCs/>
          <w:color w:val="2E75B6"/>
          <w:sz w:val="22"/>
          <w:szCs w:val="22"/>
        </w:rPr>
        <w:t xml:space="preserve">Permisos</w:t>
      </w:r>
    </w:p>
    <w:p>
      <w:pPr>
        <w:pStyle w:val="ListParagraph"/>
        <w:numPr>
          <w:ilvl w:val="0"/>
          <w:numId w:val="2"/>
        </w:numPr>
        <w:spacing w:after="40" w:before="40"/>
      </w:pPr>
      <w:r>
        <w:rPr>
          <w:rFonts w:ascii="Arial" w:cs="Arial" w:eastAsia="Arial" w:hAnsi="Arial"/>
          <w:sz w:val="22"/>
          <w:szCs w:val="22"/>
        </w:rPr>
        <w:t xml:space="preserve">Recibir OC en bandeja de aprobación.</w:t>
      </w:r>
    </w:p>
    <w:p>
      <w:pPr>
        <w:pStyle w:val="ListParagraph"/>
        <w:numPr>
          <w:ilvl w:val="0"/>
          <w:numId w:val="2"/>
        </w:numPr>
        <w:spacing w:after="40" w:before="40"/>
      </w:pPr>
      <w:r>
        <w:rPr>
          <w:rFonts w:ascii="Arial" w:cs="Arial" w:eastAsia="Arial" w:hAnsi="Arial"/>
          <w:sz w:val="22"/>
          <w:szCs w:val="22"/>
        </w:rPr>
        <w:t xml:space="preserve">Aprobar o rechazar OC con comentario obligatorio en caso de rechazo.</w:t>
      </w:r>
    </w:p>
    <w:p>
      <w:pPr>
        <w:pStyle w:val="ListParagraph"/>
        <w:numPr>
          <w:ilvl w:val="0"/>
          <w:numId w:val="2"/>
        </w:numPr>
        <w:spacing w:after="40" w:before="40"/>
      </w:pPr>
      <w:r>
        <w:rPr>
          <w:rFonts w:ascii="Arial" w:cs="Arial" w:eastAsia="Arial" w:hAnsi="Arial"/>
          <w:sz w:val="22"/>
          <w:szCs w:val="22"/>
        </w:rPr>
        <w:t xml:space="preserve">Visualizar el detalle completo: SC origen, cotizaciones recibidas, justificación de selección.</w:t>
      </w:r>
    </w:p>
    <w:p>
      <w:pPr>
        <w:pStyle w:val="ListParagraph"/>
        <w:numPr>
          <w:ilvl w:val="0"/>
          <w:numId w:val="2"/>
        </w:numPr>
        <w:spacing w:after="40" w:before="40"/>
      </w:pPr>
      <w:r>
        <w:rPr>
          <w:rFonts w:ascii="Arial" w:cs="Arial" w:eastAsia="Arial" w:hAnsi="Arial"/>
          <w:sz w:val="22"/>
          <w:szCs w:val="22"/>
        </w:rPr>
        <w:t xml:space="preserve">Acceso a reportes consolidados de aprobaciones realizadas.</w:t>
      </w:r>
    </w:p>
    <w:p>
      <w:pPr>
        <w:pStyle w:val="Heading2"/>
        <w:spacing w:after="120" w:before="240"/>
      </w:pPr>
      <w:r>
        <w:rPr>
          <w:rFonts w:ascii="Arial" w:cs="Arial" w:eastAsia="Arial" w:hAnsi="Arial"/>
          <w:b/>
          <w:bCs/>
          <w:color w:val="1F4E79"/>
          <w:sz w:val="26"/>
          <w:szCs w:val="26"/>
        </w:rPr>
        <w:t xml:space="preserve">5.6 Bodega / Almacén (L6)</w:t>
      </w:r>
    </w:p>
    <w:p>
      <w:pPr>
        <w:spacing w:after="80" w:before="80"/>
        <w:jc w:val="both"/>
      </w:pPr>
      <w:r>
        <w:rPr>
          <w:rFonts w:ascii="Arial" w:cs="Arial" w:eastAsia="Arial" w:hAnsi="Arial"/>
          <w:b w:val="false"/>
          <w:bCs w:val="false"/>
          <w:i w:val="false"/>
          <w:iCs w:val="false"/>
          <w:color w:val="000000"/>
          <w:sz w:val="22"/>
          <w:szCs w:val="22"/>
        </w:rPr>
        <w:t xml:space="preserve">Función: Recepciona físicamente los bienes y verifica conformidad contra la OC.</w:t>
      </w:r>
    </w:p>
    <w:p>
      <w:pPr>
        <w:pStyle w:val="Heading3"/>
        <w:spacing w:after="80" w:before="180"/>
      </w:pPr>
      <w:r>
        <w:rPr>
          <w:rFonts w:ascii="Arial" w:cs="Arial" w:eastAsia="Arial" w:hAnsi="Arial"/>
          <w:b/>
          <w:bCs/>
          <w:color w:val="2E75B6"/>
          <w:sz w:val="22"/>
          <w:szCs w:val="22"/>
        </w:rPr>
        <w:t xml:space="preserve">Permisos</w:t>
      </w:r>
    </w:p>
    <w:p>
      <w:pPr>
        <w:pStyle w:val="ListParagraph"/>
        <w:numPr>
          <w:ilvl w:val="0"/>
          <w:numId w:val="2"/>
        </w:numPr>
        <w:spacing w:after="40" w:before="40"/>
      </w:pPr>
      <w:r>
        <w:rPr>
          <w:rFonts w:ascii="Arial" w:cs="Arial" w:eastAsia="Arial" w:hAnsi="Arial"/>
          <w:sz w:val="22"/>
          <w:szCs w:val="22"/>
        </w:rPr>
        <w:t xml:space="preserve">Visualizar OC con estado "En tránsito" o "Pendiente de recepción".</w:t>
      </w:r>
    </w:p>
    <w:p>
      <w:pPr>
        <w:pStyle w:val="ListParagraph"/>
        <w:numPr>
          <w:ilvl w:val="0"/>
          <w:numId w:val="2"/>
        </w:numPr>
        <w:spacing w:after="40" w:before="40"/>
      </w:pPr>
      <w:r>
        <w:rPr>
          <w:rFonts w:ascii="Arial" w:cs="Arial" w:eastAsia="Arial" w:hAnsi="Arial"/>
          <w:sz w:val="22"/>
          <w:szCs w:val="22"/>
        </w:rPr>
        <w:t xml:space="preserve">Registrar recepción física verificando contra OC: cantidad, especificación, estado.</w:t>
      </w:r>
    </w:p>
    <w:p>
      <w:pPr>
        <w:pStyle w:val="ListParagraph"/>
        <w:numPr>
          <w:ilvl w:val="0"/>
          <w:numId w:val="2"/>
        </w:numPr>
        <w:spacing w:after="40" w:before="40"/>
      </w:pPr>
      <w:r>
        <w:rPr>
          <w:rFonts w:ascii="Arial" w:cs="Arial" w:eastAsia="Arial" w:hAnsi="Arial"/>
          <w:sz w:val="22"/>
          <w:szCs w:val="22"/>
        </w:rPr>
        <w:t xml:space="preserve">Emitir Recepción Conforme en sistema (gate bloqueante para factura).</w:t>
      </w:r>
    </w:p>
    <w:p>
      <w:pPr>
        <w:pStyle w:val="ListParagraph"/>
        <w:numPr>
          <w:ilvl w:val="0"/>
          <w:numId w:val="2"/>
        </w:numPr>
        <w:spacing w:after="40" w:before="40"/>
      </w:pPr>
      <w:r>
        <w:rPr>
          <w:rFonts w:ascii="Arial" w:cs="Arial" w:eastAsia="Arial" w:hAnsi="Arial"/>
          <w:sz w:val="22"/>
          <w:szCs w:val="22"/>
        </w:rPr>
        <w:t xml:space="preserve">Registrar no conformidad parcial o total y gestionar devolución/reclamo.</w:t>
      </w:r>
    </w:p>
    <w:p>
      <w:pPr>
        <w:pStyle w:val="ListParagraph"/>
        <w:numPr>
          <w:ilvl w:val="0"/>
          <w:numId w:val="2"/>
        </w:numPr>
        <w:spacing w:after="40" w:before="40"/>
      </w:pPr>
      <w:r>
        <w:rPr>
          <w:rFonts w:ascii="Arial" w:cs="Arial" w:eastAsia="Arial" w:hAnsi="Arial"/>
          <w:sz w:val="22"/>
          <w:szCs w:val="22"/>
        </w:rPr>
        <w:t xml:space="preserve">Adjuntar fotografías y guía de despacho.</w:t>
      </w:r>
    </w:p>
    <w:p>
      <w:pPr>
        <w:pStyle w:val="Heading2"/>
        <w:spacing w:after="120" w:before="240"/>
      </w:pPr>
      <w:r>
        <w:rPr>
          <w:rFonts w:ascii="Arial" w:cs="Arial" w:eastAsia="Arial" w:hAnsi="Arial"/>
          <w:b/>
          <w:bCs/>
          <w:color w:val="1F4E79"/>
          <w:sz w:val="26"/>
          <w:szCs w:val="26"/>
        </w:rPr>
        <w:t xml:space="preserve">5.7 Administrador del Workflow</w:t>
      </w:r>
    </w:p>
    <w:p>
      <w:pPr>
        <w:spacing w:after="80" w:before="80"/>
        <w:jc w:val="both"/>
      </w:pPr>
      <w:r>
        <w:rPr>
          <w:rFonts w:ascii="Arial" w:cs="Arial" w:eastAsia="Arial" w:hAnsi="Arial"/>
          <w:b w:val="false"/>
          <w:bCs w:val="false"/>
          <w:i w:val="false"/>
          <w:iCs w:val="false"/>
          <w:color w:val="000000"/>
          <w:sz w:val="22"/>
          <w:szCs w:val="22"/>
        </w:rPr>
        <w:t xml:space="preserve">Función: Configura las reglas dinámicas del sistema, mantiene el catálogo maestro y gestiona usuarios.</w:t>
      </w:r>
    </w:p>
    <w:p>
      <w:pPr>
        <w:pStyle w:val="Heading3"/>
        <w:spacing w:after="80" w:before="180"/>
      </w:pPr>
      <w:r>
        <w:rPr>
          <w:rFonts w:ascii="Arial" w:cs="Arial" w:eastAsia="Arial" w:hAnsi="Arial"/>
          <w:b/>
          <w:bCs/>
          <w:color w:val="2E75B6"/>
          <w:sz w:val="22"/>
          <w:szCs w:val="22"/>
        </w:rPr>
        <w:t xml:space="preserve">Permisos</w:t>
      </w:r>
    </w:p>
    <w:p>
      <w:pPr>
        <w:pStyle w:val="ListParagraph"/>
        <w:numPr>
          <w:ilvl w:val="0"/>
          <w:numId w:val="2"/>
        </w:numPr>
        <w:spacing w:after="40" w:before="40"/>
      </w:pPr>
      <w:r>
        <w:rPr>
          <w:rFonts w:ascii="Arial" w:cs="Arial" w:eastAsia="Arial" w:hAnsi="Arial"/>
          <w:sz w:val="22"/>
          <w:szCs w:val="22"/>
        </w:rPr>
        <w:t xml:space="preserve">Configurar matrices de aprobación (SC y OC) con reglas por monto, empresa, tipo y centro de costo.</w:t>
      </w:r>
    </w:p>
    <w:p>
      <w:pPr>
        <w:pStyle w:val="ListParagraph"/>
        <w:numPr>
          <w:ilvl w:val="0"/>
          <w:numId w:val="2"/>
        </w:numPr>
        <w:spacing w:after="40" w:before="40"/>
      </w:pPr>
      <w:r>
        <w:rPr>
          <w:rFonts w:ascii="Arial" w:cs="Arial" w:eastAsia="Arial" w:hAnsi="Arial"/>
          <w:sz w:val="22"/>
          <w:szCs w:val="22"/>
        </w:rPr>
        <w:t xml:space="preserve">Mantener catálogo maestro de ítems (SKU, familia, categoría, unidad de medida).</w:t>
      </w:r>
    </w:p>
    <w:p>
      <w:pPr>
        <w:pStyle w:val="ListParagraph"/>
        <w:numPr>
          <w:ilvl w:val="0"/>
          <w:numId w:val="2"/>
        </w:numPr>
        <w:spacing w:after="40" w:before="40"/>
      </w:pPr>
      <w:r>
        <w:rPr>
          <w:rFonts w:ascii="Arial" w:cs="Arial" w:eastAsia="Arial" w:hAnsi="Arial"/>
          <w:sz w:val="22"/>
          <w:szCs w:val="22"/>
        </w:rPr>
        <w:t xml:space="preserve">Configurar reemplazos, delegaciones y SLAs por etapa.</w:t>
      </w:r>
    </w:p>
    <w:p>
      <w:pPr>
        <w:pStyle w:val="ListParagraph"/>
        <w:numPr>
          <w:ilvl w:val="0"/>
          <w:numId w:val="2"/>
        </w:numPr>
        <w:spacing w:after="40" w:before="40"/>
      </w:pPr>
      <w:r>
        <w:rPr>
          <w:rFonts w:ascii="Arial" w:cs="Arial" w:eastAsia="Arial" w:hAnsi="Arial"/>
          <w:sz w:val="22"/>
          <w:szCs w:val="22"/>
        </w:rPr>
        <w:t xml:space="preserve">Gestionar usuarios, roles y permisos.</w:t>
      </w:r>
    </w:p>
    <w:p>
      <w:pPr>
        <w:pStyle w:val="ListParagraph"/>
        <w:numPr>
          <w:ilvl w:val="0"/>
          <w:numId w:val="2"/>
        </w:numPr>
        <w:spacing w:after="40" w:before="40"/>
      </w:pPr>
      <w:r>
        <w:rPr>
          <w:rFonts w:ascii="Arial" w:cs="Arial" w:eastAsia="Arial" w:hAnsi="Arial"/>
          <w:sz w:val="22"/>
          <w:szCs w:val="22"/>
        </w:rPr>
        <w:t xml:space="preserve">Activar/desactivar reglas y supervisar el motor de workflow.</w:t>
      </w:r>
    </w:p>
    <w:p>
      <w:pPr>
        <w:pStyle w:val="Heading2"/>
        <w:spacing w:after="120" w:before="240"/>
      </w:pPr>
      <w:r>
        <w:rPr>
          <w:rFonts w:ascii="Arial" w:cs="Arial" w:eastAsia="Arial" w:hAnsi="Arial"/>
          <w:b/>
          <w:bCs/>
          <w:color w:val="1F4E79"/>
          <w:sz w:val="26"/>
          <w:szCs w:val="26"/>
        </w:rPr>
        <w:t xml:space="preserve">5.8 Auditor / Gerencia</w:t>
      </w:r>
    </w:p>
    <w:p>
      <w:pPr>
        <w:spacing w:after="80" w:before="80"/>
        <w:jc w:val="both"/>
      </w:pPr>
      <w:r>
        <w:rPr>
          <w:rFonts w:ascii="Arial" w:cs="Arial" w:eastAsia="Arial" w:hAnsi="Arial"/>
          <w:b w:val="false"/>
          <w:bCs w:val="false"/>
          <w:i w:val="false"/>
          <w:iCs w:val="false"/>
          <w:color w:val="000000"/>
          <w:sz w:val="22"/>
          <w:szCs w:val="22"/>
        </w:rPr>
        <w:t xml:space="preserve">Función: Control, revisión y fiscalización del proceso.</w:t>
      </w:r>
    </w:p>
    <w:p>
      <w:pPr>
        <w:pStyle w:val="Heading3"/>
        <w:spacing w:after="80" w:before="180"/>
      </w:pPr>
      <w:r>
        <w:rPr>
          <w:rFonts w:ascii="Arial" w:cs="Arial" w:eastAsia="Arial" w:hAnsi="Arial"/>
          <w:b/>
          <w:bCs/>
          <w:color w:val="2E75B6"/>
          <w:sz w:val="22"/>
          <w:szCs w:val="22"/>
        </w:rPr>
        <w:t xml:space="preserve">Permisos</w:t>
      </w:r>
    </w:p>
    <w:p>
      <w:pPr>
        <w:pStyle w:val="ListParagraph"/>
        <w:numPr>
          <w:ilvl w:val="0"/>
          <w:numId w:val="2"/>
        </w:numPr>
        <w:spacing w:after="40" w:before="40"/>
      </w:pPr>
      <w:r>
        <w:rPr>
          <w:rFonts w:ascii="Arial" w:cs="Arial" w:eastAsia="Arial" w:hAnsi="Arial"/>
          <w:sz w:val="22"/>
          <w:szCs w:val="22"/>
        </w:rPr>
        <w:t xml:space="preserve">Acceso de lectura total a todas las solicitudes, OC, recepciones y facturas.</w:t>
      </w:r>
    </w:p>
    <w:p>
      <w:pPr>
        <w:pStyle w:val="ListParagraph"/>
        <w:numPr>
          <w:ilvl w:val="0"/>
          <w:numId w:val="2"/>
        </w:numPr>
        <w:spacing w:after="40" w:before="40"/>
      </w:pPr>
      <w:r>
        <w:rPr>
          <w:rFonts w:ascii="Arial" w:cs="Arial" w:eastAsia="Arial" w:hAnsi="Arial"/>
          <w:sz w:val="22"/>
          <w:szCs w:val="22"/>
        </w:rPr>
        <w:t xml:space="preserve">Exportar historial completo de cualquier transacción.</w:t>
      </w:r>
    </w:p>
    <w:p>
      <w:pPr>
        <w:pStyle w:val="ListParagraph"/>
        <w:numPr>
          <w:ilvl w:val="0"/>
          <w:numId w:val="2"/>
        </w:numPr>
        <w:spacing w:after="40" w:before="40"/>
      </w:pPr>
      <w:r>
        <w:rPr>
          <w:rFonts w:ascii="Arial" w:cs="Arial" w:eastAsia="Arial" w:hAnsi="Arial"/>
          <w:sz w:val="22"/>
          <w:szCs w:val="22"/>
        </w:rPr>
        <w:t xml:space="preserve">Generar reportes de tiempos de aprobación, tasas de rechazo, recotizaciones y trazabilidad.</w:t>
      </w:r>
    </w:p>
    <w:p>
      <w:pPr>
        <w:pStyle w:val="ListParagraph"/>
        <w:numPr>
          <w:ilvl w:val="0"/>
          <w:numId w:val="2"/>
        </w:numPr>
        <w:spacing w:after="40" w:before="40"/>
      </w:pPr>
      <w:r>
        <w:rPr>
          <w:rFonts w:ascii="Arial" w:cs="Arial" w:eastAsia="Arial" w:hAnsi="Arial"/>
          <w:sz w:val="22"/>
          <w:szCs w:val="22"/>
        </w:rPr>
        <w:t xml:space="preserve">Acceso a logs inmutables del sistema.</w:t>
      </w:r>
    </w:p>
    <w:p>
      <w:pPr>
        <w:pStyle w:val="Heading2"/>
        <w:spacing w:after="120" w:before="240"/>
      </w:pPr>
      <w:r>
        <w:rPr>
          <w:rFonts w:ascii="Arial" w:cs="Arial" w:eastAsia="Arial" w:hAnsi="Arial"/>
          <w:b/>
          <w:bCs/>
          <w:color w:val="1F4E79"/>
          <w:sz w:val="26"/>
          <w:szCs w:val="26"/>
        </w:rPr>
        <w:t xml:space="preserve">5.9 Matriz RACI consolidada por fase</w:t>
      </w:r>
    </w:p>
    <w:p>
      <w:pPr>
        <w:spacing w:after="80" w:before="80"/>
        <w:jc w:val="both"/>
      </w:pPr>
      <w:r>
        <w:rPr>
          <w:rFonts w:ascii="Arial" w:cs="Arial" w:eastAsia="Arial" w:hAnsi="Arial"/>
          <w:b w:val="false"/>
          <w:bCs w:val="false"/>
          <w:i w:val="false"/>
          <w:iCs w:val="false"/>
          <w:color w:val="000000"/>
          <w:sz w:val="22"/>
          <w:szCs w:val="22"/>
        </w:rPr>
        <w:t xml:space="preserve">Leyenda: R = Responsable de ejecución / A = Aprobador final / C = Consultado / I = Informado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Actividad</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Solicitante</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Jefe Área</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Finanzas</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Abastec.</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Gerencia</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Bodega</w:t>
            </w:r>
          </w:p>
        </w:tc>
      </w:tr>
      <w:tr>
        <w:trPr>
          <w:tblHeader w:val="false"/>
        </w:trPr>
        <w:tc>
          <w:tcPr>
            <w:tcW w:type="dxa" w:w="2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1: Emitir SC</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1: Aprobar SC</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1: Validar presupuesto</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2: Emitir RFQ y cotizar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3: Decidir valorización</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4: Emitir OC</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4: Aprobar OC</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5: Recepción de bien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r>
      <w:tr>
        <w:trPr>
          <w:tblHeader w:val="false"/>
        </w:trPr>
        <w:tc>
          <w:tcPr>
            <w:tcW w:type="dxa" w:w="2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5: Recepción de servicio</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6: Matching 3-way</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r>
      <w:tr>
        <w:trPr>
          <w:tblHeader w:val="false"/>
        </w:trPr>
        <w:tc>
          <w:tcPr>
            <w:tcW w:type="dxa" w:w="2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6: Aceptar/Reclamar DTE</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6: Registrar CxP</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 / 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bl>
    <w:p>
      <w:pPr>
        <w:pStyle w:val="Heading1"/>
        <w:pageBreakBefore/>
        <w:spacing w:after="200" w:before="360"/>
      </w:pPr>
      <w:r>
        <w:rPr>
          <w:rFonts w:ascii="Arial" w:cs="Arial" w:eastAsia="Arial" w:hAnsi="Arial"/>
          <w:b/>
          <w:bCs/>
          <w:color w:val="1F4E79"/>
          <w:sz w:val="32"/>
          <w:szCs w:val="32"/>
        </w:rPr>
        <w:t xml:space="preserve">6. Motor de Reglas de Aprobación</w:t>
      </w:r>
    </w:p>
    <w:p>
      <w:pPr>
        <w:spacing w:after="80" w:before="80"/>
        <w:jc w:val="both"/>
      </w:pPr>
      <w:r>
        <w:rPr>
          <w:rFonts w:ascii="Arial" w:cs="Arial" w:eastAsia="Arial" w:hAnsi="Arial"/>
          <w:b w:val="false"/>
          <w:bCs w:val="false"/>
          <w:i w:val="false"/>
          <w:iCs w:val="false"/>
          <w:color w:val="000000"/>
          <w:sz w:val="22"/>
          <w:szCs w:val="22"/>
        </w:rPr>
        <w:t xml:space="preserve">El sistema implementa dos motores de aprobación independientes pero coherentes: uno para la Solicitud de Compra (SC) y otro para la Orden de Compra (OC). Esta separación es necesaria porque la SC se aprueba con valor estimado y la OC se aprueba con el monto efectivo de la cotización ganadora.</w:t>
      </w:r>
    </w:p>
    <w:p>
      <w:pPr>
        <w:pStyle w:val="Heading2"/>
        <w:spacing w:after="120" w:before="240"/>
      </w:pPr>
      <w:r>
        <w:rPr>
          <w:rFonts w:ascii="Arial" w:cs="Arial" w:eastAsia="Arial" w:hAnsi="Arial"/>
          <w:b/>
          <w:bCs/>
          <w:color w:val="1F4E79"/>
          <w:sz w:val="26"/>
          <w:szCs w:val="26"/>
        </w:rPr>
        <w:t xml:space="preserve">6.1 Variables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Variable</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Descripción</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Ejemplo de valores</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Monto</w:t>
            </w:r>
          </w:p>
        </w:tc>
        <w:tc>
          <w:tcPr>
            <w:tcW w:type="dxa" w:w="4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Valor de la solicitud (estimado en SC, real en OC).</w:t>
            </w:r>
          </w:p>
        </w:tc>
        <w:tc>
          <w:tcPr>
            <w:tcW w:type="dxa" w:w="31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&lt; $500.000 / $500K–$5M / &gt; $5M (CLP)</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Centro de Costo</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Unidad organizacional que absorbe el gasto.</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Mantención, Operaciones, TI, Administración</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Tipo de Compra</w:t>
            </w:r>
          </w:p>
        </w:tc>
        <w:tc>
          <w:tcPr>
            <w:tcW w:type="dxa" w:w="4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Clasificación del bien o servicio.</w:t>
            </w:r>
          </w:p>
        </w:tc>
        <w:tc>
          <w:tcPr>
            <w:tcW w:type="dxa" w:w="31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Repuesto, Servicio, Herramienta, CAPEX, Insumo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Empresa</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Razón social dentro del grupo.</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Empresa A, Empresa B</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Familia de ítem</w:t>
            </w:r>
          </w:p>
        </w:tc>
        <w:tc>
          <w:tcPr>
            <w:tcW w:type="dxa" w:w="4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Categoría del catálogo maestro (jerárquica).</w:t>
            </w:r>
          </w:p>
        </w:tc>
        <w:tc>
          <w:tcPr>
            <w:tcW w:type="dxa" w:w="31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Lubricantes / Aceites / SAE 15W40</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Urgencia</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Nivel de criticidad operacional.</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Normal / Urgente / Crítica</w:t>
            </w:r>
          </w:p>
        </w:tc>
      </w:tr>
    </w:tbl>
    <w:p>
      <w:pPr>
        <w:pStyle w:val="Heading2"/>
        <w:spacing w:after="120" w:before="240"/>
      </w:pPr>
      <w:r>
        <w:rPr>
          <w:rFonts w:ascii="Arial" w:cs="Arial" w:eastAsia="Arial" w:hAnsi="Arial"/>
          <w:b/>
          <w:bCs/>
          <w:color w:val="1F4E79"/>
          <w:sz w:val="26"/>
          <w:szCs w:val="26"/>
        </w:rPr>
        <w:t xml:space="preserve">6.2 Matriz de aprobación de SC (1er nivel)</w:t>
      </w:r>
    </w:p>
    <w:p>
      <w:pPr>
        <w:spacing w:after="80" w:before="80"/>
        <w:jc w:val="both"/>
      </w:pPr>
      <w:r>
        <w:rPr>
          <w:rFonts w:ascii="Arial" w:cs="Arial" w:eastAsia="Arial" w:hAnsi="Arial"/>
          <w:b w:val="false"/>
          <w:bCs w:val="false"/>
          <w:i w:val="false"/>
          <w:iCs w:val="false"/>
          <w:color w:val="000000"/>
          <w:sz w:val="22"/>
          <w:szCs w:val="22"/>
        </w:rPr>
        <w:t xml:space="preserve">La SC se aprueba siempre por el Jefe de Área Solicitante en primer nivel, independiente del monto. Si supera umbrales críticos, se escala a niveles superiores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Rango de monto (CLP)</w:t>
            </w:r>
          </w:p>
        </w:tc>
        <w:tc>
          <w:tcPr>
            <w:tcW w:type="dxa" w:w="2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Nivel 1</w:t>
            </w:r>
          </w:p>
        </w:tc>
        <w:tc>
          <w:tcPr>
            <w:tcW w:type="dxa" w:w="2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Nivel 2 (adicional)</w:t>
            </w:r>
          </w:p>
        </w:tc>
      </w:tr>
      <w:tr>
        <w:trPr>
          <w:tblHeader w:val="false"/>
        </w:trPr>
        <w:tc>
          <w:tcPr>
            <w:tcW w:type="dxa" w:w="3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&lt; $500.000</w:t>
            </w:r>
          </w:p>
        </w:tc>
        <w:tc>
          <w:tcPr>
            <w:tcW w:type="dxa" w:w="28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Área</w:t>
            </w:r>
          </w:p>
        </w:tc>
        <w:tc>
          <w:tcPr>
            <w:tcW w:type="dxa" w:w="28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$500.000 – $5.000.000</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Área</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r>
      <w:tr>
        <w:trPr>
          <w:tblHeader w:val="false"/>
        </w:trPr>
        <w:tc>
          <w:tcPr>
            <w:tcW w:type="dxa" w:w="3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$5.000.001 – $20.000.000</w:t>
            </w:r>
          </w:p>
        </w:tc>
        <w:tc>
          <w:tcPr>
            <w:tcW w:type="dxa" w:w="28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Área</w:t>
            </w:r>
          </w:p>
        </w:tc>
        <w:tc>
          <w:tcPr>
            <w:tcW w:type="dxa" w:w="28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Gerente del área</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&gt; $20.000.000</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Área</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Gerente del área + Comité</w:t>
            </w:r>
          </w:p>
        </w:tc>
      </w:tr>
    </w:tbl>
    <w:p>
      <w:pPr>
        <w:pStyle w:val="Heading2"/>
        <w:spacing w:after="120" w:before="240"/>
      </w:pPr>
      <w:r>
        <w:rPr>
          <w:rFonts w:ascii="Arial" w:cs="Arial" w:eastAsia="Arial" w:hAnsi="Arial"/>
          <w:b/>
          <w:bCs/>
          <w:color w:val="1F4E79"/>
          <w:sz w:val="26"/>
          <w:szCs w:val="26"/>
        </w:rPr>
        <w:t xml:space="preserve">6.3 Matriz de aprobación de OC</w:t>
      </w:r>
    </w:p>
    <w:p>
      <w:pPr>
        <w:spacing w:after="80" w:before="80"/>
        <w:jc w:val="both"/>
      </w:pPr>
      <w:r>
        <w:rPr>
          <w:rFonts w:ascii="Arial" w:cs="Arial" w:eastAsia="Arial" w:hAnsi="Arial"/>
          <w:b w:val="false"/>
          <w:bCs w:val="false"/>
          <w:i w:val="false"/>
          <w:iCs w:val="false"/>
          <w:color w:val="000000"/>
          <w:sz w:val="22"/>
          <w:szCs w:val="22"/>
        </w:rPr>
        <w:t xml:space="preserve">La OC se aprueba digitalmente por Gerencia según el monto efectivo de la cotización ganadora. Esta matriz es independiente y posterior a la aprobación de 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Rango de monto OC (CLP)</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Aprobador requerido</w:t>
            </w:r>
          </w:p>
        </w:tc>
      </w:tr>
      <w:tr>
        <w:trPr>
          <w:tblHeader w:val="false"/>
        </w:trPr>
        <w:tc>
          <w:tcPr>
            <w:tcW w:type="dxa" w:w="4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&lt; $500.000</w:t>
            </w:r>
          </w:p>
        </w:tc>
        <w:tc>
          <w:tcPr>
            <w:tcW w:type="dxa" w:w="4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Abastecimiento</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$500.000 – $2.000.000</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Gerente de Operaciones</w:t>
            </w:r>
          </w:p>
        </w:tc>
      </w:tr>
      <w:tr>
        <w:trPr>
          <w:tblHeader w:val="false"/>
        </w:trPr>
        <w:tc>
          <w:tcPr>
            <w:tcW w:type="dxa" w:w="4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$2.000.001 – $10.000.000</w:t>
            </w:r>
          </w:p>
        </w:tc>
        <w:tc>
          <w:tcPr>
            <w:tcW w:type="dxa" w:w="4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Gerente de Operaciones + Gerente de Finanzas</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&gt; $10.000.000</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Gerente de Finanzas + Gerente General</w:t>
            </w:r>
          </w:p>
        </w:tc>
      </w:tr>
    </w:tbl>
    <w:p>
      <w:pPr>
        <w:pStyle w:val="Heading2"/>
        <w:spacing w:after="120" w:before="240"/>
      </w:pPr>
      <w:r>
        <w:rPr>
          <w:rFonts w:ascii="Arial" w:cs="Arial" w:eastAsia="Arial" w:hAnsi="Arial"/>
          <w:b/>
          <w:bCs/>
          <w:color w:val="1F4E79"/>
          <w:sz w:val="26"/>
          <w:szCs w:val="26"/>
        </w:rPr>
        <w:t xml:space="preserve">6.4 Reglas adicionales del motor</w:t>
      </w:r>
    </w:p>
    <w:p>
      <w:pPr>
        <w:pStyle w:val="ListParagraph"/>
        <w:numPr>
          <w:ilvl w:val="0"/>
          <w:numId w:val="2"/>
        </w:numPr>
        <w:spacing w:after="40" w:before="40"/>
      </w:pPr>
      <w:r>
        <w:rPr>
          <w:rFonts w:ascii="Arial" w:cs="Arial" w:eastAsia="Arial" w:hAnsi="Arial"/>
          <w:b/>
          <w:bCs/>
          <w:sz w:val="22"/>
          <w:szCs w:val="22"/>
        </w:rPr>
        <w:t xml:space="preserve">Delegación: </w:t>
      </w:r>
      <w:r>
        <w:rPr>
          <w:rFonts w:ascii="Arial" w:cs="Arial" w:eastAsia="Arial" w:hAnsi="Arial"/>
          <w:sz w:val="22"/>
          <w:szCs w:val="22"/>
        </w:rPr>
        <w:t xml:space="preserve">Si un aprobador está ausente por más de X días configurables, la solicitud escala automáticamente al reemplazo definido.</w:t>
      </w:r>
    </w:p>
    <w:p>
      <w:pPr>
        <w:pStyle w:val="ListParagraph"/>
        <w:numPr>
          <w:ilvl w:val="0"/>
          <w:numId w:val="2"/>
        </w:numPr>
        <w:spacing w:after="40" w:before="40"/>
      </w:pPr>
      <w:r>
        <w:rPr>
          <w:rFonts w:ascii="Arial" w:cs="Arial" w:eastAsia="Arial" w:hAnsi="Arial"/>
          <w:b/>
          <w:bCs/>
          <w:sz w:val="22"/>
          <w:szCs w:val="22"/>
        </w:rPr>
        <w:t xml:space="preserve">Timeout / SLA: </w:t>
      </w:r>
      <w:r>
        <w:rPr>
          <w:rFonts w:ascii="Arial" w:cs="Arial" w:eastAsia="Arial" w:hAnsi="Arial"/>
          <w:sz w:val="22"/>
          <w:szCs w:val="22"/>
        </w:rPr>
        <w:t xml:space="preserve">Si una solicitud no es atendida en el plazo definido por etapa, se envía notificación de escalamiento al nivel superior.</w:t>
      </w:r>
    </w:p>
    <w:p>
      <w:pPr>
        <w:pStyle w:val="ListParagraph"/>
        <w:numPr>
          <w:ilvl w:val="0"/>
          <w:numId w:val="2"/>
        </w:numPr>
        <w:spacing w:after="40" w:before="40"/>
      </w:pPr>
      <w:r>
        <w:rPr>
          <w:rFonts w:ascii="Arial" w:cs="Arial" w:eastAsia="Arial" w:hAnsi="Arial"/>
          <w:b/>
          <w:bCs/>
          <w:sz w:val="22"/>
          <w:szCs w:val="22"/>
        </w:rPr>
        <w:t xml:space="preserve">Rechazo: </w:t>
      </w:r>
      <w:r>
        <w:rPr>
          <w:rFonts w:ascii="Arial" w:cs="Arial" w:eastAsia="Arial" w:hAnsi="Arial"/>
          <w:sz w:val="22"/>
          <w:szCs w:val="22"/>
        </w:rPr>
        <w:t xml:space="preserve">Todo rechazo requiere comentario obligatorio. La SC vuelve al Solicitante; la OC vuelve a Abastecimiento.</w:t>
      </w:r>
    </w:p>
    <w:p>
      <w:pPr>
        <w:pStyle w:val="ListParagraph"/>
        <w:numPr>
          <w:ilvl w:val="0"/>
          <w:numId w:val="2"/>
        </w:numPr>
        <w:spacing w:after="40" w:before="40"/>
      </w:pPr>
      <w:r>
        <w:rPr>
          <w:rFonts w:ascii="Arial" w:cs="Arial" w:eastAsia="Arial" w:hAnsi="Arial"/>
          <w:b/>
          <w:bCs/>
          <w:sz w:val="22"/>
          <w:szCs w:val="22"/>
        </w:rPr>
        <w:t xml:space="preserve">Recotización: </w:t>
      </w:r>
      <w:r>
        <w:rPr>
          <w:rFonts w:ascii="Arial" w:cs="Arial" w:eastAsia="Arial" w:hAnsi="Arial"/>
          <w:sz w:val="22"/>
          <w:szCs w:val="22"/>
        </w:rPr>
        <w:t xml:space="preserve">Configurable un máximo de N ciclos de recotización (default: 2) antes de exigir aprobación gerencial para nuevos ciclos.</w:t>
      </w:r>
    </w:p>
    <w:p>
      <w:pPr>
        <w:pStyle w:val="ListParagraph"/>
        <w:numPr>
          <w:ilvl w:val="0"/>
          <w:numId w:val="2"/>
        </w:numPr>
        <w:spacing w:after="40" w:before="40"/>
      </w:pPr>
      <w:r>
        <w:rPr>
          <w:rFonts w:ascii="Arial" w:cs="Arial" w:eastAsia="Arial" w:hAnsi="Arial"/>
          <w:b/>
          <w:bCs/>
          <w:sz w:val="22"/>
          <w:szCs w:val="22"/>
        </w:rPr>
        <w:t xml:space="preserve">Compras urgentes: </w:t>
      </w:r>
      <w:r>
        <w:rPr>
          <w:rFonts w:ascii="Arial" w:cs="Arial" w:eastAsia="Arial" w:hAnsi="Arial"/>
          <w:sz w:val="22"/>
          <w:szCs w:val="22"/>
        </w:rPr>
        <w:t xml:space="preserve">Mismo flujo, pero con SLA reducido y flag de urgencia visible. No se permite saltarse aprobaciones.</w:t>
      </w:r>
    </w:p>
    <w:p>
      <w:pPr>
        <w:pStyle w:val="ListParagraph"/>
        <w:numPr>
          <w:ilvl w:val="0"/>
          <w:numId w:val="2"/>
        </w:numPr>
        <w:spacing w:after="40" w:before="40"/>
      </w:pPr>
      <w:r>
        <w:rPr>
          <w:rFonts w:ascii="Arial" w:cs="Arial" w:eastAsia="Arial" w:hAnsi="Arial"/>
          <w:b/>
          <w:bCs/>
          <w:sz w:val="22"/>
          <w:szCs w:val="22"/>
        </w:rPr>
        <w:t xml:space="preserve">Inmutabilidad: </w:t>
      </w:r>
      <w:r>
        <w:rPr>
          <w:rFonts w:ascii="Arial" w:cs="Arial" w:eastAsia="Arial" w:hAnsi="Arial"/>
          <w:sz w:val="22"/>
          <w:szCs w:val="22"/>
        </w:rPr>
        <w:t xml:space="preserve">Ninguna acción registrada en el log puede ser editada o eliminada. Las correcciones se hacen mediante nuevas acciones que enmiendan, no que sobrescriben.</w:t>
      </w:r>
    </w:p>
    <w:p>
      <w:pPr>
        <w:pStyle w:val="Heading1"/>
        <w:pageBreakBefore/>
        <w:spacing w:after="200" w:before="360"/>
      </w:pPr>
      <w:r>
        <w:rPr>
          <w:rFonts w:ascii="Arial" w:cs="Arial" w:eastAsia="Arial" w:hAnsi="Arial"/>
          <w:b/>
          <w:bCs/>
          <w:color w:val="1F4E79"/>
          <w:sz w:val="32"/>
          <w:szCs w:val="32"/>
        </w:rPr>
        <w:t xml:space="preserve">7. Catálogo Maestro y Estructura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Habilitador clave de calidad de información</w:t>
            </w:r>
          </w:p>
          <w:p>
            <w:pPr>
              <w:spacing w:after="0" w:before="0"/>
              <w:jc w:val="both"/>
            </w:pPr>
            <w:r>
              <w:rPr>
                <w:rFonts w:ascii="Arial" w:cs="Arial" w:eastAsia="Arial" w:hAnsi="Arial"/>
                <w:sz w:val="20"/>
                <w:szCs w:val="20"/>
              </w:rPr>
              <w:t xml:space="preserve">El catálogo maestro de ítems es el habilitador central del primer objetivo prioritario del proyecto: mejorar la calidad de la información sobre lo que se compra. Sin una taxonomía formal y un identificador único por ítem, ninguna agregación, comparación ni análisis estratégico es posible. Por eso este capítulo precede a los requerimientos funcionales.</w:t>
            </w:r>
          </w:p>
        </w:tc>
      </w:tr>
    </w:tbl>
    <w:p>
      <w:pPr>
        <w:spacing w:after="60" w:before="60"/>
      </w:pPr>
      <w:r>
        <w:t xml:space="preserve"/>
      </w:r>
    </w:p>
    <w:p>
      <w:pPr>
        <w:pStyle w:val="Heading2"/>
        <w:spacing w:after="120" w:before="240"/>
      </w:pPr>
      <w:r>
        <w:rPr>
          <w:rFonts w:ascii="Arial" w:cs="Arial" w:eastAsia="Arial" w:hAnsi="Arial"/>
          <w:b/>
          <w:bCs/>
          <w:color w:val="1F4E79"/>
          <w:sz w:val="26"/>
          <w:szCs w:val="26"/>
        </w:rPr>
        <w:t xml:space="preserve">7.1 Estructura del catálogo maestro de ítems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Campo</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Tipo</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Obligatorio</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Descripción</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sku_interno</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string (PK)</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Sí</w:t>
            </w:r>
          </w:p>
        </w:tc>
        <w:tc>
          <w:tcPr>
            <w:tcW w:type="dxa" w:w="3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Identificador único interno del ítem (ej: ITM-LUB-15W40-205L).</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nombre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string</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Sí</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Nombre normalizado del ítem.</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familia</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FK a familias</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Sí</w:t>
            </w:r>
          </w:p>
        </w:tc>
        <w:tc>
          <w:tcPr>
            <w:tcW w:type="dxa" w:w="3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Familia jerárquica (ej: Lubricantes → Aceites → SAE 15W40).</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unidad_medida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enum</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Sí</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UN, KG, LT, M, M2, M3, HR, SVC.</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especificacion_tecnica</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text</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Especificación normalizada por familia.</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proveedor_habitual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FK proveedores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Proveedor frecuente para benchmarking.</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precio_referencia</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decimal</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Precio histórico promedio para alertas de desviación.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activo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boolean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Sí</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Permite desactivar ítems sin perder histórico.</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criticidad</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enum</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w:t>
            </w:r>
          </w:p>
        </w:tc>
        <w:tc>
          <w:tcPr>
            <w:tcW w:type="dxa" w:w="3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Crítico / Estándar / Genérico (define ruta de aprobación).</w:t>
            </w:r>
          </w:p>
        </w:tc>
      </w:tr>
    </w:tbl>
    <w:p>
      <w:pPr>
        <w:pStyle w:val="Heading2"/>
        <w:spacing w:after="120" w:before="240"/>
      </w:pPr>
      <w:r>
        <w:rPr>
          <w:rFonts w:ascii="Arial" w:cs="Arial" w:eastAsia="Arial" w:hAnsi="Arial"/>
          <w:b/>
          <w:bCs/>
          <w:color w:val="1F4E79"/>
          <w:sz w:val="26"/>
          <w:szCs w:val="26"/>
        </w:rPr>
        <w:t xml:space="preserve">7.2 Taxonomía de gasto (familias)</w:t>
      </w:r>
    </w:p>
    <w:p>
      <w:pPr>
        <w:spacing w:after="80" w:before="80"/>
        <w:jc w:val="both"/>
      </w:pPr>
      <w:r>
        <w:rPr>
          <w:rFonts w:ascii="Arial" w:cs="Arial" w:eastAsia="Arial" w:hAnsi="Arial"/>
          <w:b w:val="false"/>
          <w:bCs w:val="false"/>
          <w:i w:val="false"/>
          <w:iCs w:val="false"/>
          <w:color w:val="000000"/>
          <w:sz w:val="22"/>
          <w:szCs w:val="22"/>
        </w:rPr>
        <w:t xml:space="preserve">La taxonomía de gasto es jerárquica y configurable por el Administrador del Workflow. Permite análisis por nivel agregado o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Nivel</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Ejemplo</w:t>
            </w:r>
          </w:p>
        </w:tc>
        <w:tc>
          <w:tcPr>
            <w:tcW w:type="dxa" w:w="32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Uso</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 — Macrocategoría</w:t>
            </w:r>
          </w:p>
        </w:tc>
        <w:tc>
          <w:tcPr>
            <w:tcW w:type="dxa" w:w="3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Mantención</w:t>
            </w:r>
          </w:p>
        </w:tc>
        <w:tc>
          <w:tcPr>
            <w:tcW w:type="dxa" w:w="32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Reportes ejecutivos de gasto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2 — Categoría</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Lubricantes y Filtros</w:t>
            </w:r>
          </w:p>
        </w:tc>
        <w:tc>
          <w:tcPr>
            <w:tcW w:type="dxa" w:w="3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Análisis táctico de gasto</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3 — Subcategoría</w:t>
            </w:r>
          </w:p>
        </w:tc>
        <w:tc>
          <w:tcPr>
            <w:tcW w:type="dxa" w:w="3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Aceites Hidráulicos</w:t>
            </w:r>
          </w:p>
        </w:tc>
        <w:tc>
          <w:tcPr>
            <w:tcW w:type="dxa" w:w="32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Identificación de duplicidad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4 — SKU</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ITM-LUB-15W40-205L</w:t>
            </w:r>
          </w:p>
        </w:tc>
        <w:tc>
          <w:tcPr>
            <w:tcW w:type="dxa" w:w="3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Línea de SC, OC y factura</w:t>
            </w:r>
          </w:p>
        </w:tc>
      </w:tr>
    </w:tbl>
    <w:p>
      <w:pPr>
        <w:pStyle w:val="Heading2"/>
        <w:spacing w:after="120" w:before="240"/>
      </w:pPr>
      <w:r>
        <w:rPr>
          <w:rFonts w:ascii="Arial" w:cs="Arial" w:eastAsia="Arial" w:hAnsi="Arial"/>
          <w:b/>
          <w:bCs/>
          <w:color w:val="1F4E79"/>
          <w:sz w:val="26"/>
          <w:szCs w:val="26"/>
        </w:rPr>
        <w:t xml:space="preserve">7.3 Datos estructurados capturados por etapa</w:t>
      </w:r>
    </w:p>
    <w:p>
      <w:pPr>
        <w:spacing w:after="80" w:before="80"/>
        <w:jc w:val="both"/>
      </w:pPr>
      <w:r>
        <w:rPr>
          <w:rFonts w:ascii="Arial" w:cs="Arial" w:eastAsia="Arial" w:hAnsi="Arial"/>
          <w:b w:val="false"/>
          <w:bCs w:val="false"/>
          <w:i w:val="false"/>
          <w:iCs w:val="false"/>
          <w:color w:val="000000"/>
          <w:sz w:val="22"/>
          <w:szCs w:val="22"/>
        </w:rPr>
        <w:t xml:space="preserve">Para garantizar calidad de información end-to-end, cada etapa del proceso captura un conjunto definido de datos estructurados. La regla de oro es: lo que se captura una vez se hereda, no se vuelve a digitar.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80"/>
        <w:gridCol w:w="40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Fase</w:t>
            </w:r>
          </w:p>
        </w:tc>
        <w:tc>
          <w:tcPr>
            <w:tcW w:type="dxa" w:w="4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Datos estructurados capturados</w:t>
            </w:r>
          </w:p>
        </w:tc>
        <w:tc>
          <w:tcPr>
            <w:tcW w:type="dxa" w:w="40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Habilita análisis de</w:t>
            </w:r>
          </w:p>
        </w:tc>
      </w:tr>
      <w:tr>
        <w:trPr>
          <w:tblHeader w:val="false"/>
        </w:trP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 — SC</w:t>
            </w:r>
          </w:p>
        </w:tc>
        <w:tc>
          <w:tcPr>
            <w:tcW w:type="dxa" w:w="44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SKU, cantidad, fecha requerida, CC, tipo, criticidad operacional, justificación.</w:t>
            </w:r>
          </w:p>
        </w:tc>
        <w:tc>
          <w:tcPr>
            <w:tcW w:type="dxa" w:w="4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Compras recurrentes, demanda por familia.</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2 — Cotización</w:t>
            </w:r>
          </w:p>
        </w:tc>
        <w:tc>
          <w:tcPr>
            <w:tcW w:type="dxa" w:w="4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Proveedor, precio unitario, plazo, condiciones de pago, validez, archivo.</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Histórico de precios por SKU, evaluación proveedor.</w:t>
            </w:r>
          </w:p>
        </w:tc>
      </w:tr>
      <w:tr>
        <w:trPr>
          <w:tblHeader w:val="false"/>
        </w:trP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3 — Valorización</w:t>
            </w:r>
          </w:p>
        </w:tc>
        <w:tc>
          <w:tcPr>
            <w:tcW w:type="dxa" w:w="44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Decisión, motivo de recotización (si aplica), motivo de rechazo (si aplica).</w:t>
            </w:r>
          </w:p>
        </w:tc>
        <w:tc>
          <w:tcPr>
            <w:tcW w:type="dxa" w:w="4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Tasa de aprobación 1ra valorización, motivos de rechazo.</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4 — OC</w:t>
            </w:r>
          </w:p>
        </w:tc>
        <w:tc>
          <w:tcPr>
            <w:tcW w:type="dxa" w:w="4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Vínculo SC + cotización ganadora, total neto, IVA, condición pago, lugar y fecha entrega, CC.</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Conciliación inmutable, lead time comprometido.</w:t>
            </w:r>
          </w:p>
        </w:tc>
      </w:tr>
      <w:tr>
        <w:trPr>
          <w:tblHeader w:val="false"/>
        </w:trP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5 — Recepción</w:t>
            </w:r>
          </w:p>
        </w:tc>
        <w:tc>
          <w:tcPr>
            <w:tcW w:type="dxa" w:w="44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Cantidad recibida, conformidad parcial/total, fecha real, observaciones.</w:t>
            </w:r>
          </w:p>
        </w:tc>
        <w:tc>
          <w:tcPr>
            <w:tcW w:type="dxa" w:w="4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Cumplimiento proveedor, lead time real vs comprometido.</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6 — Factura</w:t>
            </w:r>
          </w:p>
        </w:tc>
        <w:tc>
          <w:tcPr>
            <w:tcW w:type="dxa" w:w="4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Folio DTE, fecha SII, monto, resultado matching 3-way.</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Calidad documental, control de aceptación tácita.</w:t>
            </w:r>
          </w:p>
        </w:tc>
      </w:tr>
    </w:tbl>
    <w:p>
      <w:pPr>
        <w:pStyle w:val="Heading1"/>
        <w:pageBreakBefore/>
        <w:spacing w:after="200" w:before="360"/>
      </w:pPr>
      <w:r>
        <w:rPr>
          <w:rFonts w:ascii="Arial" w:cs="Arial" w:eastAsia="Arial" w:hAnsi="Arial"/>
          <w:b/>
          <w:bCs/>
          <w:color w:val="1F4E79"/>
          <w:sz w:val="32"/>
          <w:szCs w:val="32"/>
        </w:rPr>
        <w:t xml:space="preserve">8. Requerimientos Funcionales</w:t>
      </w:r>
    </w:p>
    <w:p>
      <w:pPr>
        <w:pStyle w:val="Heading2"/>
        <w:spacing w:after="120" w:before="240"/>
      </w:pPr>
      <w:r>
        <w:rPr>
          <w:rFonts w:ascii="Arial" w:cs="Arial" w:eastAsia="Arial" w:hAnsi="Arial"/>
          <w:b/>
          <w:bCs/>
          <w:color w:val="1F4E79"/>
          <w:sz w:val="26"/>
          <w:szCs w:val="26"/>
        </w:rPr>
        <w:t xml:space="preserve">8.1 Módulo de Solicitud de Compra (SC)</w:t>
      </w:r>
    </w:p>
    <w:p>
      <w:pPr>
        <w:pStyle w:val="ListParagraph"/>
        <w:numPr>
          <w:ilvl w:val="0"/>
          <w:numId w:val="2"/>
        </w:numPr>
        <w:spacing w:after="40" w:before="40"/>
      </w:pPr>
      <w:r>
        <w:rPr>
          <w:rFonts w:ascii="Arial" w:cs="Arial" w:eastAsia="Arial" w:hAnsi="Arial"/>
          <w:sz w:val="22"/>
          <w:szCs w:val="22"/>
        </w:rPr>
        <w:t xml:space="preserve">Formulario de SC con campos obligatorios derivados del catálogo maestro: SKU, cantidad, UM, fecha requerida, CC, tipo, urgencia, justificación.</w:t>
      </w:r>
    </w:p>
    <w:p>
      <w:pPr>
        <w:pStyle w:val="ListParagraph"/>
        <w:numPr>
          <w:ilvl w:val="0"/>
          <w:numId w:val="2"/>
        </w:numPr>
        <w:spacing w:after="40" w:before="40"/>
      </w:pPr>
      <w:r>
        <w:rPr>
          <w:rFonts w:ascii="Arial" w:cs="Arial" w:eastAsia="Arial" w:hAnsi="Arial"/>
          <w:sz w:val="22"/>
          <w:szCs w:val="22"/>
        </w:rPr>
        <w:t xml:space="preserve">Búsqueda predictiva sobre el catálogo de ítems con autocompletado por familia, SKU y nombre.</w:t>
      </w:r>
    </w:p>
    <w:p>
      <w:pPr>
        <w:pStyle w:val="ListParagraph"/>
        <w:numPr>
          <w:ilvl w:val="0"/>
          <w:numId w:val="2"/>
        </w:numPr>
        <w:spacing w:after="40" w:before="40"/>
      </w:pPr>
      <w:r>
        <w:rPr>
          <w:rFonts w:ascii="Arial" w:cs="Arial" w:eastAsia="Arial" w:hAnsi="Arial"/>
          <w:sz w:val="22"/>
          <w:szCs w:val="22"/>
        </w:rPr>
        <w:t xml:space="preserve">Capacidad de adjuntar documentos de respaldo (PDF, imágenes, especificaciones, hasta 10 MB por archivo).</w:t>
      </w:r>
    </w:p>
    <w:p>
      <w:pPr>
        <w:pStyle w:val="ListParagraph"/>
        <w:numPr>
          <w:ilvl w:val="0"/>
          <w:numId w:val="2"/>
        </w:numPr>
        <w:spacing w:after="40" w:before="40"/>
      </w:pPr>
      <w:r>
        <w:rPr>
          <w:rFonts w:ascii="Arial" w:cs="Arial" w:eastAsia="Arial" w:hAnsi="Arial"/>
          <w:sz w:val="22"/>
          <w:szCs w:val="22"/>
        </w:rPr>
        <w:t xml:space="preserve">Autoguardado de borradores cada 30 segundos.</w:t>
      </w:r>
    </w:p>
    <w:p>
      <w:pPr>
        <w:pStyle w:val="ListParagraph"/>
        <w:numPr>
          <w:ilvl w:val="0"/>
          <w:numId w:val="2"/>
        </w:numPr>
        <w:spacing w:after="40" w:before="40"/>
      </w:pPr>
      <w:r>
        <w:rPr>
          <w:rFonts w:ascii="Arial" w:cs="Arial" w:eastAsia="Arial" w:hAnsi="Arial"/>
          <w:sz w:val="22"/>
          <w:szCs w:val="22"/>
        </w:rPr>
        <w:t xml:space="preserve">Numeración correlativa automática: SC-YYYY-NNNNNN.</w:t>
      </w:r>
    </w:p>
    <w:p>
      <w:pPr>
        <w:pStyle w:val="ListParagraph"/>
        <w:numPr>
          <w:ilvl w:val="0"/>
          <w:numId w:val="2"/>
        </w:numPr>
        <w:spacing w:after="40" w:before="40"/>
      </w:pPr>
      <w:r>
        <w:rPr>
          <w:rFonts w:ascii="Arial" w:cs="Arial" w:eastAsia="Arial" w:hAnsi="Arial"/>
          <w:sz w:val="22"/>
          <w:szCs w:val="22"/>
        </w:rPr>
        <w:t xml:space="preserve">Estados visibles: Borrador, Enviada, Aprobada 1er nivel, Validación Presupuestaria, Liberada, Congelada, En Cotización, Valorizada, Aprobada Valorización, Rechazada, En OC, OC Aprobada, En Tránsito, Recibida, Facturada, Cerrada.</w:t>
      </w:r>
    </w:p>
    <w:p>
      <w:pPr>
        <w:pStyle w:val="ListParagraph"/>
        <w:numPr>
          <w:ilvl w:val="0"/>
          <w:numId w:val="2"/>
        </w:numPr>
        <w:spacing w:after="40" w:before="40"/>
      </w:pPr>
      <w:r>
        <w:rPr>
          <w:rFonts w:ascii="Arial" w:cs="Arial" w:eastAsia="Arial" w:hAnsi="Arial"/>
          <w:sz w:val="22"/>
          <w:szCs w:val="22"/>
        </w:rPr>
        <w:t xml:space="preserve">Posibilidad de duplicar SC anteriores (acelera SC recurrentes).</w:t>
      </w:r>
    </w:p>
    <w:p>
      <w:pPr>
        <w:pStyle w:val="Heading2"/>
        <w:spacing w:after="120" w:before="240"/>
      </w:pPr>
      <w:r>
        <w:rPr>
          <w:rFonts w:ascii="Arial" w:cs="Arial" w:eastAsia="Arial" w:hAnsi="Arial"/>
          <w:b/>
          <w:bCs/>
          <w:color w:val="1F4E79"/>
          <w:sz w:val="26"/>
          <w:szCs w:val="26"/>
        </w:rPr>
        <w:t xml:space="preserve">8.2 Módulo de Aprobaciones</w:t>
      </w:r>
    </w:p>
    <w:p>
      <w:pPr>
        <w:pStyle w:val="ListParagraph"/>
        <w:numPr>
          <w:ilvl w:val="0"/>
          <w:numId w:val="2"/>
        </w:numPr>
        <w:spacing w:after="40" w:before="40"/>
      </w:pPr>
      <w:r>
        <w:rPr>
          <w:rFonts w:ascii="Arial" w:cs="Arial" w:eastAsia="Arial" w:hAnsi="Arial"/>
          <w:sz w:val="22"/>
          <w:szCs w:val="22"/>
        </w:rPr>
        <w:t xml:space="preserve">Bandeja única de aprobaciones pendientes por usuario, ordenada por antigüedad y urgencia.</w:t>
      </w:r>
    </w:p>
    <w:p>
      <w:pPr>
        <w:pStyle w:val="ListParagraph"/>
        <w:numPr>
          <w:ilvl w:val="0"/>
          <w:numId w:val="2"/>
        </w:numPr>
        <w:spacing w:after="40" w:before="40"/>
      </w:pPr>
      <w:r>
        <w:rPr>
          <w:rFonts w:ascii="Arial" w:cs="Arial" w:eastAsia="Arial" w:hAnsi="Arial"/>
          <w:sz w:val="22"/>
          <w:szCs w:val="22"/>
        </w:rPr>
        <w:t xml:space="preserve">Vista de detalle completo con todos los datos heredados y adjuntos.</w:t>
      </w:r>
    </w:p>
    <w:p>
      <w:pPr>
        <w:pStyle w:val="ListParagraph"/>
        <w:numPr>
          <w:ilvl w:val="0"/>
          <w:numId w:val="2"/>
        </w:numPr>
        <w:spacing w:after="40" w:before="40"/>
      </w:pPr>
      <w:r>
        <w:rPr>
          <w:rFonts w:ascii="Arial" w:cs="Arial" w:eastAsia="Arial" w:hAnsi="Arial"/>
          <w:sz w:val="22"/>
          <w:szCs w:val="22"/>
        </w:rPr>
        <w:t xml:space="preserve">Aprobación móvil disponible (iOS/Android) con autenticación biométrica.</w:t>
      </w:r>
    </w:p>
    <w:p>
      <w:pPr>
        <w:pStyle w:val="ListParagraph"/>
        <w:numPr>
          <w:ilvl w:val="0"/>
          <w:numId w:val="2"/>
        </w:numPr>
        <w:spacing w:after="40" w:before="40"/>
      </w:pPr>
      <w:r>
        <w:rPr>
          <w:rFonts w:ascii="Arial" w:cs="Arial" w:eastAsia="Arial" w:hAnsi="Arial"/>
          <w:sz w:val="22"/>
          <w:szCs w:val="22"/>
        </w:rPr>
        <w:t xml:space="preserve">Botones explícitos Aprobar / Rechazar / (en Fase 3) Recotizar — con comentario obligatorio en rechazo y recotización.</w:t>
      </w:r>
    </w:p>
    <w:p>
      <w:pPr>
        <w:pStyle w:val="ListParagraph"/>
        <w:numPr>
          <w:ilvl w:val="0"/>
          <w:numId w:val="2"/>
        </w:numPr>
        <w:spacing w:after="40" w:before="40"/>
      </w:pPr>
      <w:r>
        <w:rPr>
          <w:rFonts w:ascii="Arial" w:cs="Arial" w:eastAsia="Arial" w:hAnsi="Arial"/>
          <w:sz w:val="22"/>
          <w:szCs w:val="22"/>
        </w:rPr>
        <w:t xml:space="preserve">Notificaciones push y email al asignar aprobación, configurables por usuario.</w:t>
      </w:r>
    </w:p>
    <w:p>
      <w:pPr>
        <w:pStyle w:val="ListParagraph"/>
        <w:numPr>
          <w:ilvl w:val="0"/>
          <w:numId w:val="2"/>
        </w:numPr>
        <w:spacing w:after="40" w:before="40"/>
      </w:pPr>
      <w:r>
        <w:rPr>
          <w:rFonts w:ascii="Arial" w:cs="Arial" w:eastAsia="Arial" w:hAnsi="Arial"/>
          <w:sz w:val="22"/>
          <w:szCs w:val="22"/>
        </w:rPr>
        <w:t xml:space="preserve">Escalamiento automático por timeout (SLA configurable por etapa).</w:t>
      </w:r>
    </w:p>
    <w:p>
      <w:pPr>
        <w:pStyle w:val="Heading2"/>
        <w:spacing w:after="120" w:before="240"/>
      </w:pPr>
      <w:r>
        <w:rPr>
          <w:rFonts w:ascii="Arial" w:cs="Arial" w:eastAsia="Arial" w:hAnsi="Arial"/>
          <w:b/>
          <w:bCs/>
          <w:color w:val="1F4E79"/>
          <w:sz w:val="26"/>
          <w:szCs w:val="26"/>
        </w:rPr>
        <w:t xml:space="preserve">8.3 Módulo de Validación Presupuestaria</w:t>
      </w:r>
    </w:p>
    <w:p>
      <w:pPr>
        <w:pStyle w:val="ListParagraph"/>
        <w:numPr>
          <w:ilvl w:val="0"/>
          <w:numId w:val="2"/>
        </w:numPr>
        <w:spacing w:after="40" w:before="40"/>
      </w:pPr>
      <w:r>
        <w:rPr>
          <w:rFonts w:ascii="Arial" w:cs="Arial" w:eastAsia="Arial" w:hAnsi="Arial"/>
          <w:sz w:val="22"/>
          <w:szCs w:val="22"/>
        </w:rPr>
        <w:t xml:space="preserve">Carga y mantención de presupuesto por centro de costo, período, empresa y partida (familia macro).</w:t>
      </w:r>
    </w:p>
    <w:p>
      <w:pPr>
        <w:pStyle w:val="ListParagraph"/>
        <w:numPr>
          <w:ilvl w:val="0"/>
          <w:numId w:val="2"/>
        </w:numPr>
        <w:spacing w:after="40" w:before="40"/>
      </w:pPr>
      <w:r>
        <w:rPr>
          <w:rFonts w:ascii="Arial" w:cs="Arial" w:eastAsia="Arial" w:hAnsi="Arial"/>
          <w:sz w:val="22"/>
          <w:szCs w:val="22"/>
        </w:rPr>
        <w:t xml:space="preserve">Validación automática al momento de aprobar 1er nivel: ¿hay disponibilidad?</w:t>
      </w:r>
    </w:p>
    <w:p>
      <w:pPr>
        <w:pStyle w:val="ListParagraph"/>
        <w:numPr>
          <w:ilvl w:val="0"/>
          <w:numId w:val="2"/>
        </w:numPr>
        <w:spacing w:after="40" w:before="40"/>
      </w:pPr>
      <w:r>
        <w:rPr>
          <w:rFonts w:ascii="Arial" w:cs="Arial" w:eastAsia="Arial" w:hAnsi="Arial"/>
          <w:sz w:val="22"/>
          <w:szCs w:val="22"/>
        </w:rPr>
        <w:t xml:space="preserve">Tres estados de validación: Disponible (libera), Sin disponibilidad (congela y escala), En revisión (caso especial).</w:t>
      </w:r>
    </w:p>
    <w:p>
      <w:pPr>
        <w:pStyle w:val="ListParagraph"/>
        <w:numPr>
          <w:ilvl w:val="0"/>
          <w:numId w:val="2"/>
        </w:numPr>
        <w:spacing w:after="40" w:before="40"/>
      </w:pPr>
      <w:r>
        <w:rPr>
          <w:rFonts w:ascii="Arial" w:cs="Arial" w:eastAsia="Arial" w:hAnsi="Arial"/>
          <w:sz w:val="22"/>
          <w:szCs w:val="22"/>
        </w:rPr>
        <w:t xml:space="preserve">Alertas de consumo: warning al 80%, bloqueo al 100% (configurable por CC).</w:t>
      </w:r>
    </w:p>
    <w:p>
      <w:pPr>
        <w:pStyle w:val="ListParagraph"/>
        <w:numPr>
          <w:ilvl w:val="0"/>
          <w:numId w:val="2"/>
        </w:numPr>
        <w:spacing w:after="40" w:before="40"/>
      </w:pPr>
      <w:r>
        <w:rPr>
          <w:rFonts w:ascii="Arial" w:cs="Arial" w:eastAsia="Arial" w:hAnsi="Arial"/>
          <w:sz w:val="22"/>
          <w:szCs w:val="22"/>
        </w:rPr>
        <w:t xml:space="preserve">Reportes de ejecución presupuestaria por CC, partida y período.</w:t>
      </w:r>
    </w:p>
    <w:p>
      <w:pPr>
        <w:pStyle w:val="Heading2"/>
        <w:spacing w:after="120" w:before="240"/>
      </w:pPr>
      <w:r>
        <w:rPr>
          <w:rFonts w:ascii="Arial" w:cs="Arial" w:eastAsia="Arial" w:hAnsi="Arial"/>
          <w:b/>
          <w:bCs/>
          <w:color w:val="1F4E79"/>
          <w:sz w:val="26"/>
          <w:szCs w:val="26"/>
        </w:rPr>
        <w:t xml:space="preserve">8.4 Módulo de Cotización (RFQ)</w:t>
      </w:r>
    </w:p>
    <w:p>
      <w:pPr>
        <w:pStyle w:val="ListParagraph"/>
        <w:numPr>
          <w:ilvl w:val="0"/>
          <w:numId w:val="2"/>
        </w:numPr>
        <w:spacing w:after="40" w:before="40"/>
      </w:pPr>
      <w:r>
        <w:rPr>
          <w:rFonts w:ascii="Arial" w:cs="Arial" w:eastAsia="Arial" w:hAnsi="Arial"/>
          <w:sz w:val="22"/>
          <w:szCs w:val="22"/>
        </w:rPr>
        <w:t xml:space="preserve">Generación automática de RFQ a partir de la SC (herencia de datos).</w:t>
      </w:r>
    </w:p>
    <w:p>
      <w:pPr>
        <w:pStyle w:val="ListParagraph"/>
        <w:numPr>
          <w:ilvl w:val="0"/>
          <w:numId w:val="2"/>
        </w:numPr>
        <w:spacing w:after="40" w:before="40"/>
      </w:pPr>
      <w:r>
        <w:rPr>
          <w:rFonts w:ascii="Arial" w:cs="Arial" w:eastAsia="Arial" w:hAnsi="Arial"/>
          <w:sz w:val="22"/>
          <w:szCs w:val="22"/>
        </w:rPr>
        <w:t xml:space="preserve">Envío de RFQ a múltiples proveedores con tracking de respuesta.</w:t>
      </w:r>
    </w:p>
    <w:p>
      <w:pPr>
        <w:pStyle w:val="ListParagraph"/>
        <w:numPr>
          <w:ilvl w:val="0"/>
          <w:numId w:val="2"/>
        </w:numPr>
        <w:spacing w:after="40" w:before="40"/>
      </w:pPr>
      <w:r>
        <w:rPr>
          <w:rFonts w:ascii="Arial" w:cs="Arial" w:eastAsia="Arial" w:hAnsi="Arial"/>
          <w:sz w:val="22"/>
          <w:szCs w:val="22"/>
        </w:rPr>
        <w:t xml:space="preserve">Registro estructurado de cotizaciones recibidas con campos obligatorios: precio unitario, plazo, condiciones de pago, validez, archivo PDF.</w:t>
      </w:r>
    </w:p>
    <w:p>
      <w:pPr>
        <w:pStyle w:val="ListParagraph"/>
        <w:numPr>
          <w:ilvl w:val="0"/>
          <w:numId w:val="2"/>
        </w:numPr>
        <w:spacing w:after="40" w:before="40"/>
      </w:pPr>
      <w:r>
        <w:rPr>
          <w:rFonts w:ascii="Arial" w:cs="Arial" w:eastAsia="Arial" w:hAnsi="Arial"/>
          <w:sz w:val="22"/>
          <w:szCs w:val="22"/>
        </w:rPr>
        <w:t xml:space="preserve">Comparativo automático lado a lado cuando hay 2+ cotizaciones.</w:t>
      </w:r>
    </w:p>
    <w:p>
      <w:pPr>
        <w:pStyle w:val="ListParagraph"/>
        <w:numPr>
          <w:ilvl w:val="0"/>
          <w:numId w:val="2"/>
        </w:numPr>
        <w:spacing w:after="40" w:before="40"/>
      </w:pPr>
      <w:r>
        <w:rPr>
          <w:rFonts w:ascii="Arial" w:cs="Arial" w:eastAsia="Arial" w:hAnsi="Arial"/>
          <w:sz w:val="22"/>
          <w:szCs w:val="22"/>
        </w:rPr>
        <w:t xml:space="preserve">Generación automática de Valorización con la mejor opción técnica/económica precargada y justificación editable.</w:t>
      </w:r>
    </w:p>
    <w:p>
      <w:pPr>
        <w:pStyle w:val="ListParagraph"/>
        <w:numPr>
          <w:ilvl w:val="0"/>
          <w:numId w:val="2"/>
        </w:numPr>
        <w:spacing w:after="40" w:before="40"/>
      </w:pPr>
      <w:r>
        <w:rPr>
          <w:rFonts w:ascii="Arial" w:cs="Arial" w:eastAsia="Arial" w:hAnsi="Arial"/>
          <w:sz w:val="22"/>
          <w:szCs w:val="22"/>
        </w:rPr>
        <w:t xml:space="preserve">Histórico de precios por SKU con alerta de desviación respecto al precio de referencia.</w:t>
      </w:r>
    </w:p>
    <w:p>
      <w:pPr>
        <w:pStyle w:val="Heading2"/>
        <w:spacing w:after="120" w:before="240"/>
      </w:pPr>
      <w:r>
        <w:rPr>
          <w:rFonts w:ascii="Arial" w:cs="Arial" w:eastAsia="Arial" w:hAnsi="Arial"/>
          <w:b/>
          <w:bCs/>
          <w:color w:val="1F4E79"/>
          <w:sz w:val="26"/>
          <w:szCs w:val="26"/>
        </w:rPr>
        <w:t xml:space="preserve">8.5 Módulo de Valorización y Decisión</w:t>
      </w:r>
    </w:p>
    <w:p>
      <w:pPr>
        <w:pStyle w:val="ListParagraph"/>
        <w:numPr>
          <w:ilvl w:val="0"/>
          <w:numId w:val="2"/>
        </w:numPr>
        <w:spacing w:after="40" w:before="40"/>
      </w:pPr>
      <w:r>
        <w:rPr>
          <w:rFonts w:ascii="Arial" w:cs="Arial" w:eastAsia="Arial" w:hAnsi="Arial"/>
          <w:sz w:val="22"/>
          <w:szCs w:val="22"/>
        </w:rPr>
        <w:t xml:space="preserve">Bandeja del Jefe de Área con valorizaciones pendientes.</w:t>
      </w:r>
    </w:p>
    <w:p>
      <w:pPr>
        <w:pStyle w:val="ListParagraph"/>
        <w:numPr>
          <w:ilvl w:val="0"/>
          <w:numId w:val="2"/>
        </w:numPr>
        <w:spacing w:after="40" w:before="40"/>
      </w:pPr>
      <w:r>
        <w:rPr>
          <w:rFonts w:ascii="Arial" w:cs="Arial" w:eastAsia="Arial" w:hAnsi="Arial"/>
          <w:sz w:val="22"/>
          <w:szCs w:val="22"/>
        </w:rPr>
        <w:t xml:space="preserve">Tres acciones explícitas: APROBAR, RECOTIZAR (con feedback estructurado), RECHAZAR (con motivo obligatorio).</w:t>
      </w:r>
    </w:p>
    <w:p>
      <w:pPr>
        <w:pStyle w:val="ListParagraph"/>
        <w:numPr>
          <w:ilvl w:val="0"/>
          <w:numId w:val="2"/>
        </w:numPr>
        <w:spacing w:after="40" w:before="40"/>
      </w:pPr>
      <w:r>
        <w:rPr>
          <w:rFonts w:ascii="Arial" w:cs="Arial" w:eastAsia="Arial" w:hAnsi="Arial"/>
          <w:sz w:val="22"/>
          <w:szCs w:val="22"/>
        </w:rPr>
        <w:t xml:space="preserve">Trazabilidad de ciclos de recotización con histórico completo de cotizaciones por ciclo.</w:t>
      </w:r>
    </w:p>
    <w:p>
      <w:pPr>
        <w:pStyle w:val="ListParagraph"/>
        <w:numPr>
          <w:ilvl w:val="0"/>
          <w:numId w:val="2"/>
        </w:numPr>
        <w:spacing w:after="40" w:before="40"/>
      </w:pPr>
      <w:r>
        <w:rPr>
          <w:rFonts w:ascii="Arial" w:cs="Arial" w:eastAsia="Arial" w:hAnsi="Arial"/>
          <w:sz w:val="22"/>
          <w:szCs w:val="22"/>
        </w:rPr>
        <w:t xml:space="preserve">Bloqueo de nuevos ciclos de recotización tras alcanzar el máximo configurado, salvo aprobación gerencial.</w:t>
      </w:r>
    </w:p>
    <w:p>
      <w:pPr>
        <w:pStyle w:val="Heading2"/>
        <w:spacing w:after="120" w:before="240"/>
      </w:pPr>
      <w:r>
        <w:rPr>
          <w:rFonts w:ascii="Arial" w:cs="Arial" w:eastAsia="Arial" w:hAnsi="Arial"/>
          <w:b/>
          <w:bCs/>
          <w:color w:val="1F4E79"/>
          <w:sz w:val="26"/>
          <w:szCs w:val="26"/>
        </w:rPr>
        <w:t xml:space="preserve">8.6 Módulo de Orden de Compra (OC)</w:t>
      </w:r>
    </w:p>
    <w:p>
      <w:pPr>
        <w:pStyle w:val="ListParagraph"/>
        <w:numPr>
          <w:ilvl w:val="0"/>
          <w:numId w:val="2"/>
        </w:numPr>
        <w:spacing w:after="40" w:before="40"/>
      </w:pPr>
      <w:r>
        <w:rPr>
          <w:rFonts w:ascii="Arial" w:cs="Arial" w:eastAsia="Arial" w:hAnsi="Arial"/>
          <w:sz w:val="22"/>
          <w:szCs w:val="22"/>
        </w:rPr>
        <w:t xml:space="preserve">Generación de OC con herencia automática de datos: SC, cotización ganadora, proveedor.</w:t>
      </w:r>
    </w:p>
    <w:p>
      <w:pPr>
        <w:pStyle w:val="ListParagraph"/>
        <w:numPr>
          <w:ilvl w:val="0"/>
          <w:numId w:val="2"/>
        </w:numPr>
        <w:spacing w:after="40" w:before="40"/>
      </w:pPr>
      <w:r>
        <w:rPr>
          <w:rFonts w:ascii="Arial" w:cs="Arial" w:eastAsia="Arial" w:hAnsi="Arial"/>
          <w:sz w:val="22"/>
          <w:szCs w:val="22"/>
        </w:rPr>
        <w:t xml:space="preserve">Numeración correlativa: OC-YYYY-NNNNNN.</w:t>
      </w:r>
    </w:p>
    <w:p>
      <w:pPr>
        <w:pStyle w:val="ListParagraph"/>
        <w:numPr>
          <w:ilvl w:val="0"/>
          <w:numId w:val="2"/>
        </w:numPr>
        <w:spacing w:after="40" w:before="40"/>
      </w:pPr>
      <w:r>
        <w:rPr>
          <w:rFonts w:ascii="Arial" w:cs="Arial" w:eastAsia="Arial" w:hAnsi="Arial"/>
          <w:sz w:val="22"/>
          <w:szCs w:val="22"/>
        </w:rPr>
        <w:t xml:space="preserve">Vínculo inmutable OC ↔ SC ↔ Cotización (1:1 para SC, 1:1 para cotización ganadora).</w:t>
      </w:r>
    </w:p>
    <w:p>
      <w:pPr>
        <w:pStyle w:val="ListParagraph"/>
        <w:numPr>
          <w:ilvl w:val="0"/>
          <w:numId w:val="2"/>
        </w:numPr>
        <w:spacing w:after="40" w:before="40"/>
      </w:pPr>
      <w:r>
        <w:rPr>
          <w:rFonts w:ascii="Arial" w:cs="Arial" w:eastAsia="Arial" w:hAnsi="Arial"/>
          <w:sz w:val="22"/>
          <w:szCs w:val="22"/>
        </w:rPr>
        <w:t xml:space="preserve">Aprobación digital según matriz de OC (Sección 6.3).</w:t>
      </w:r>
    </w:p>
    <w:p>
      <w:pPr>
        <w:pStyle w:val="ListParagraph"/>
        <w:numPr>
          <w:ilvl w:val="0"/>
          <w:numId w:val="2"/>
        </w:numPr>
        <w:spacing w:after="40" w:before="40"/>
      </w:pPr>
      <w:r>
        <w:rPr>
          <w:rFonts w:ascii="Arial" w:cs="Arial" w:eastAsia="Arial" w:hAnsi="Arial"/>
          <w:sz w:val="22"/>
          <w:szCs w:val="22"/>
        </w:rPr>
        <w:t xml:space="preserve">Envío formal al proveedor (email con OC en PDF + notificación en plataforma de proveedor si aplica).</w:t>
      </w:r>
    </w:p>
    <w:p>
      <w:pPr>
        <w:pStyle w:val="ListParagraph"/>
        <w:numPr>
          <w:ilvl w:val="0"/>
          <w:numId w:val="2"/>
        </w:numPr>
        <w:spacing w:after="40" w:before="40"/>
      </w:pPr>
      <w:r>
        <w:rPr>
          <w:rFonts w:ascii="Arial" w:cs="Arial" w:eastAsia="Arial" w:hAnsi="Arial"/>
          <w:sz w:val="22"/>
          <w:szCs w:val="22"/>
        </w:rPr>
        <w:t xml:space="preserve">Estados: Emitida, En Aprobación, Aprobada, Enviada al Proveedor, En Tránsito, Recibida, Facturada, Cerrada, Anulada.</w:t>
      </w:r>
    </w:p>
    <w:p>
      <w:pPr>
        <w:pStyle w:val="Heading2"/>
        <w:spacing w:after="120" w:before="240"/>
      </w:pPr>
      <w:r>
        <w:rPr>
          <w:rFonts w:ascii="Arial" w:cs="Arial" w:eastAsia="Arial" w:hAnsi="Arial"/>
          <w:b/>
          <w:bCs/>
          <w:color w:val="1F4E79"/>
          <w:sz w:val="26"/>
          <w:szCs w:val="26"/>
        </w:rPr>
        <w:t xml:space="preserve">8.7 Módulo de Recepción</w:t>
      </w:r>
    </w:p>
    <w:p>
      <w:pPr>
        <w:pStyle w:val="ListParagraph"/>
        <w:numPr>
          <w:ilvl w:val="0"/>
          <w:numId w:val="2"/>
        </w:numPr>
        <w:spacing w:after="40" w:before="40"/>
      </w:pPr>
      <w:r>
        <w:rPr>
          <w:rFonts w:ascii="Arial" w:cs="Arial" w:eastAsia="Arial" w:hAnsi="Arial"/>
          <w:sz w:val="22"/>
          <w:szCs w:val="22"/>
        </w:rPr>
        <w:t xml:space="preserve">Bandeja de recepciones pendientes por bodega y por solicitante (servicios).</w:t>
      </w:r>
    </w:p>
    <w:p>
      <w:pPr>
        <w:pStyle w:val="ListParagraph"/>
        <w:numPr>
          <w:ilvl w:val="0"/>
          <w:numId w:val="2"/>
        </w:numPr>
        <w:spacing w:after="40" w:before="40"/>
      </w:pPr>
      <w:r>
        <w:rPr>
          <w:rFonts w:ascii="Arial" w:cs="Arial" w:eastAsia="Arial" w:hAnsi="Arial"/>
          <w:sz w:val="22"/>
          <w:szCs w:val="22"/>
        </w:rPr>
        <w:t xml:space="preserve">Recepción de bienes (Bodega): verificación contra OC con campos obligatorios — cantidad recibida, estado, fotos.</w:t>
      </w:r>
    </w:p>
    <w:p>
      <w:pPr>
        <w:pStyle w:val="ListParagraph"/>
        <w:numPr>
          <w:ilvl w:val="0"/>
          <w:numId w:val="2"/>
        </w:numPr>
        <w:spacing w:after="40" w:before="40"/>
      </w:pPr>
      <w:r>
        <w:rPr>
          <w:rFonts w:ascii="Arial" w:cs="Arial" w:eastAsia="Arial" w:hAnsi="Arial"/>
          <w:sz w:val="22"/>
          <w:szCs w:val="22"/>
        </w:rPr>
        <w:t xml:space="preserve">Recepción de servicios (Solicitante): emisión de Acta firmada digitalmente.</w:t>
      </w:r>
    </w:p>
    <w:p>
      <w:pPr>
        <w:pStyle w:val="ListParagraph"/>
        <w:numPr>
          <w:ilvl w:val="0"/>
          <w:numId w:val="2"/>
        </w:numPr>
        <w:spacing w:after="40" w:before="40"/>
      </w:pPr>
      <w:r>
        <w:rPr>
          <w:rFonts w:ascii="Arial" w:cs="Arial" w:eastAsia="Arial" w:hAnsi="Arial"/>
          <w:sz w:val="22"/>
          <w:szCs w:val="22"/>
        </w:rPr>
        <w:t xml:space="preserve">Decisión binaria: Conforme / No Conforme (parcial o total).</w:t>
      </w:r>
    </w:p>
    <w:p>
      <w:pPr>
        <w:pStyle w:val="ListParagraph"/>
        <w:numPr>
          <w:ilvl w:val="0"/>
          <w:numId w:val="2"/>
        </w:numPr>
        <w:spacing w:after="40" w:before="40"/>
      </w:pPr>
      <w:r>
        <w:rPr>
          <w:rFonts w:ascii="Arial" w:cs="Arial" w:eastAsia="Arial" w:hAnsi="Arial"/>
          <w:sz w:val="22"/>
          <w:szCs w:val="22"/>
        </w:rPr>
        <w:t xml:space="preserve">Recepción parcial habilitada (recibe parte, queda pendiente el resto).</w:t>
      </w:r>
    </w:p>
    <w:p>
      <w:pPr>
        <w:pStyle w:val="ListParagraph"/>
        <w:numPr>
          <w:ilvl w:val="0"/>
          <w:numId w:val="2"/>
        </w:numPr>
        <w:spacing w:after="40" w:before="40"/>
      </w:pPr>
      <w:r>
        <w:rPr>
          <w:rFonts w:ascii="Arial" w:cs="Arial" w:eastAsia="Arial" w:hAnsi="Arial"/>
          <w:sz w:val="22"/>
          <w:szCs w:val="22"/>
        </w:rPr>
        <w:t xml:space="preserve">Generación automática de gate de Recepción Conforme (precondición de Fase 6).</w:t>
      </w:r>
    </w:p>
    <w:p>
      <w:pPr>
        <w:pStyle w:val="Heading2"/>
        <w:spacing w:after="120" w:before="240"/>
      </w:pPr>
      <w:r>
        <w:rPr>
          <w:rFonts w:ascii="Arial" w:cs="Arial" w:eastAsia="Arial" w:hAnsi="Arial"/>
          <w:b/>
          <w:bCs/>
          <w:color w:val="1F4E79"/>
          <w:sz w:val="26"/>
          <w:szCs w:val="26"/>
        </w:rPr>
        <w:t xml:space="preserve">8.8 Módulo de Validación de Factura</w:t>
      </w:r>
    </w:p>
    <w:p>
      <w:pPr>
        <w:pStyle w:val="ListParagraph"/>
        <w:numPr>
          <w:ilvl w:val="0"/>
          <w:numId w:val="2"/>
        </w:numPr>
        <w:spacing w:after="40" w:before="40"/>
      </w:pPr>
      <w:r>
        <w:rPr>
          <w:rFonts w:ascii="Arial" w:cs="Arial" w:eastAsia="Arial" w:hAnsi="Arial"/>
          <w:sz w:val="22"/>
          <w:szCs w:val="22"/>
        </w:rPr>
        <w:t xml:space="preserve">Recepción automática de DTE desde SII (vía API o lectura de buzón).</w:t>
      </w:r>
    </w:p>
    <w:p>
      <w:pPr>
        <w:pStyle w:val="ListParagraph"/>
        <w:numPr>
          <w:ilvl w:val="0"/>
          <w:numId w:val="2"/>
        </w:numPr>
        <w:spacing w:after="40" w:before="40"/>
      </w:pPr>
      <w:r>
        <w:rPr>
          <w:rFonts w:ascii="Arial" w:cs="Arial" w:eastAsia="Arial" w:hAnsi="Arial"/>
          <w:sz w:val="22"/>
          <w:szCs w:val="22"/>
        </w:rPr>
        <w:t xml:space="preserve">Matching 3-way automático: ¿Existe OC vinculada? ¿Existe Recepción Conforme? ¿Coinciden montos (con tolerancia configurable, ej: ±2%)?</w:t>
      </w:r>
    </w:p>
    <w:p>
      <w:pPr>
        <w:pStyle w:val="ListParagraph"/>
        <w:numPr>
          <w:ilvl w:val="0"/>
          <w:numId w:val="2"/>
        </w:numPr>
        <w:spacing w:after="40" w:before="40"/>
      </w:pPr>
      <w:r>
        <w:rPr>
          <w:rFonts w:ascii="Arial" w:cs="Arial" w:eastAsia="Arial" w:hAnsi="Arial"/>
          <w:sz w:val="22"/>
          <w:szCs w:val="22"/>
        </w:rPr>
        <w:t xml:space="preserve">Activación automática del timer SII de 8 días hábiles desde recepción.</w:t>
      </w:r>
    </w:p>
    <w:p>
      <w:pPr>
        <w:pStyle w:val="ListParagraph"/>
        <w:numPr>
          <w:ilvl w:val="0"/>
          <w:numId w:val="2"/>
        </w:numPr>
        <w:spacing w:after="40" w:before="40"/>
      </w:pPr>
      <w:r>
        <w:rPr>
          <w:rFonts w:ascii="Arial" w:cs="Arial" w:eastAsia="Arial" w:hAnsi="Arial"/>
          <w:sz w:val="22"/>
          <w:szCs w:val="22"/>
        </w:rPr>
        <w:t xml:space="preserve">Alerta proactiva al día 5 y al día 7 si la factura sigue pendiente de validación.</w:t>
      </w:r>
    </w:p>
    <w:p>
      <w:pPr>
        <w:pStyle w:val="ListParagraph"/>
        <w:numPr>
          <w:ilvl w:val="0"/>
          <w:numId w:val="2"/>
        </w:numPr>
        <w:spacing w:after="40" w:before="40"/>
      </w:pPr>
      <w:r>
        <w:rPr>
          <w:rFonts w:ascii="Arial" w:cs="Arial" w:eastAsia="Arial" w:hAnsi="Arial"/>
          <w:sz w:val="22"/>
          <w:szCs w:val="22"/>
        </w:rPr>
        <w:t xml:space="preserve">Acción explícita Aceptar / Reclamar (con motivo si reclamo).</w:t>
      </w:r>
    </w:p>
    <w:p>
      <w:pPr>
        <w:pStyle w:val="ListParagraph"/>
        <w:numPr>
          <w:ilvl w:val="0"/>
          <w:numId w:val="2"/>
        </w:numPr>
        <w:spacing w:after="40" w:before="40"/>
      </w:pPr>
      <w:r>
        <w:rPr>
          <w:rFonts w:ascii="Arial" w:cs="Arial" w:eastAsia="Arial" w:hAnsi="Arial"/>
          <w:sz w:val="22"/>
          <w:szCs w:val="22"/>
        </w:rPr>
        <w:t xml:space="preserve">Generación de Nota de Crédito/Débito si hay diferencia.</w:t>
      </w:r>
    </w:p>
    <w:p>
      <w:pPr>
        <w:pStyle w:val="ListParagraph"/>
        <w:numPr>
          <w:ilvl w:val="0"/>
          <w:numId w:val="2"/>
        </w:numPr>
        <w:spacing w:after="40" w:before="40"/>
      </w:pPr>
      <w:r>
        <w:rPr>
          <w:rFonts w:ascii="Arial" w:cs="Arial" w:eastAsia="Arial" w:hAnsi="Arial"/>
          <w:sz w:val="22"/>
          <w:szCs w:val="22"/>
        </w:rPr>
        <w:t xml:space="preserve">Registro automático en libro de compras y como CxP en ERP (vía integración).</w:t>
      </w:r>
    </w:p>
    <w:p>
      <w:pPr>
        <w:pStyle w:val="Heading2"/>
        <w:spacing w:after="120" w:before="240"/>
      </w:pPr>
      <w:r>
        <w:rPr>
          <w:rFonts w:ascii="Arial" w:cs="Arial" w:eastAsia="Arial" w:hAnsi="Arial"/>
          <w:b/>
          <w:bCs/>
          <w:color w:val="1F4E79"/>
          <w:sz w:val="26"/>
          <w:szCs w:val="26"/>
        </w:rPr>
        <w:t xml:space="preserve">8.9 Módulo de Reportes y Métricas</w:t>
      </w:r>
    </w:p>
    <w:p>
      <w:pPr>
        <w:pStyle w:val="ListParagraph"/>
        <w:numPr>
          <w:ilvl w:val="0"/>
          <w:numId w:val="2"/>
        </w:numPr>
        <w:spacing w:after="40" w:before="40"/>
      </w:pPr>
      <w:r>
        <w:rPr>
          <w:rFonts w:ascii="Arial" w:cs="Arial" w:eastAsia="Arial" w:hAnsi="Arial"/>
          <w:sz w:val="22"/>
          <w:szCs w:val="22"/>
        </w:rPr>
        <w:t xml:space="preserve">Dashboard ejecutivo: SC en curso, OC pendientes, recepciones pendientes, facturas en validación, presupuesto consumido por CC.</w:t>
      </w:r>
    </w:p>
    <w:p>
      <w:pPr>
        <w:pStyle w:val="ListParagraph"/>
        <w:numPr>
          <w:ilvl w:val="0"/>
          <w:numId w:val="2"/>
        </w:numPr>
        <w:spacing w:after="40" w:before="40"/>
      </w:pPr>
      <w:r>
        <w:rPr>
          <w:rFonts w:ascii="Arial" w:cs="Arial" w:eastAsia="Arial" w:hAnsi="Arial"/>
          <w:sz w:val="22"/>
          <w:szCs w:val="22"/>
        </w:rPr>
        <w:t xml:space="preserve">Tiempo de ciclo por etapa: SC→Aprobación, Aprobación→Cotización, Cotización→OC, OC→Recepción, Recepción→CxP.</w:t>
      </w:r>
    </w:p>
    <w:p>
      <w:pPr>
        <w:pStyle w:val="ListParagraph"/>
        <w:numPr>
          <w:ilvl w:val="0"/>
          <w:numId w:val="2"/>
        </w:numPr>
        <w:spacing w:after="40" w:before="40"/>
      </w:pPr>
      <w:r>
        <w:rPr>
          <w:rFonts w:ascii="Arial" w:cs="Arial" w:eastAsia="Arial" w:hAnsi="Arial"/>
          <w:sz w:val="22"/>
          <w:szCs w:val="22"/>
        </w:rPr>
        <w:t xml:space="preserve">Tasa de aprobación en primer envío de SC y OC.</w:t>
      </w:r>
    </w:p>
    <w:p>
      <w:pPr>
        <w:pStyle w:val="ListParagraph"/>
        <w:numPr>
          <w:ilvl w:val="0"/>
          <w:numId w:val="2"/>
        </w:numPr>
        <w:spacing w:after="40" w:before="40"/>
      </w:pPr>
      <w:r>
        <w:rPr>
          <w:rFonts w:ascii="Arial" w:cs="Arial" w:eastAsia="Arial" w:hAnsi="Arial"/>
          <w:sz w:val="22"/>
          <w:szCs w:val="22"/>
        </w:rPr>
        <w:t xml:space="preserve">Tasa de recotización (ciclos promedio por SC valorizada).</w:t>
      </w:r>
    </w:p>
    <w:p>
      <w:pPr>
        <w:pStyle w:val="ListParagraph"/>
        <w:numPr>
          <w:ilvl w:val="0"/>
          <w:numId w:val="2"/>
        </w:numPr>
        <w:spacing w:after="40" w:before="40"/>
      </w:pPr>
      <w:r>
        <w:rPr>
          <w:rFonts w:ascii="Arial" w:cs="Arial" w:eastAsia="Arial" w:hAnsi="Arial"/>
          <w:sz w:val="22"/>
          <w:szCs w:val="22"/>
        </w:rPr>
        <w:t xml:space="preserve">Análisis de gasto por familia, SKU, proveedor, CC, empresa, período.</w:t>
      </w:r>
    </w:p>
    <w:p>
      <w:pPr>
        <w:pStyle w:val="ListParagraph"/>
        <w:numPr>
          <w:ilvl w:val="0"/>
          <w:numId w:val="2"/>
        </w:numPr>
        <w:spacing w:after="40" w:before="40"/>
      </w:pPr>
      <w:r>
        <w:rPr>
          <w:rFonts w:ascii="Arial" w:cs="Arial" w:eastAsia="Arial" w:hAnsi="Arial"/>
          <w:sz w:val="22"/>
          <w:szCs w:val="22"/>
        </w:rPr>
        <w:t xml:space="preserve">Top SKU recurrentes (candidatos a contrato marco).</w:t>
      </w:r>
    </w:p>
    <w:p>
      <w:pPr>
        <w:pStyle w:val="ListParagraph"/>
        <w:numPr>
          <w:ilvl w:val="0"/>
          <w:numId w:val="2"/>
        </w:numPr>
        <w:spacing w:after="40" w:before="40"/>
      </w:pPr>
      <w:r>
        <w:rPr>
          <w:rFonts w:ascii="Arial" w:cs="Arial" w:eastAsia="Arial" w:hAnsi="Arial"/>
          <w:sz w:val="22"/>
          <w:szCs w:val="22"/>
        </w:rPr>
        <w:t xml:space="preserve">Cumplimiento de proveedor: lead time real vs comprometido, tasa de no conformidad.</w:t>
      </w:r>
    </w:p>
    <w:p>
      <w:pPr>
        <w:pStyle w:val="ListParagraph"/>
        <w:numPr>
          <w:ilvl w:val="0"/>
          <w:numId w:val="2"/>
        </w:numPr>
        <w:spacing w:after="40" w:before="40"/>
      </w:pPr>
      <w:r>
        <w:rPr>
          <w:rFonts w:ascii="Arial" w:cs="Arial" w:eastAsia="Arial" w:hAnsi="Arial"/>
          <w:sz w:val="22"/>
          <w:szCs w:val="22"/>
        </w:rPr>
        <w:t xml:space="preserve">Exportación a Excel y PDF de cualquier reporte.</w:t>
      </w:r>
    </w:p>
    <w:p>
      <w:pPr>
        <w:pStyle w:val="Heading1"/>
        <w:pageBreakBefore/>
        <w:spacing w:after="200" w:before="360"/>
      </w:pPr>
      <w:r>
        <w:rPr>
          <w:rFonts w:ascii="Arial" w:cs="Arial" w:eastAsia="Arial" w:hAnsi="Arial"/>
          <w:b/>
          <w:bCs/>
          <w:color w:val="1F4E79"/>
          <w:sz w:val="32"/>
          <w:szCs w:val="32"/>
        </w:rPr>
        <w:t xml:space="preserve">9. Reglas de Negocio Bloqueantes</w:t>
      </w:r>
    </w:p>
    <w:p>
      <w:pPr>
        <w:spacing w:after="80" w:before="80"/>
        <w:jc w:val="both"/>
      </w:pPr>
      <w:r>
        <w:rPr>
          <w:rFonts w:ascii="Arial" w:cs="Arial" w:eastAsia="Arial" w:hAnsi="Arial"/>
          <w:b w:val="false"/>
          <w:bCs w:val="false"/>
          <w:i w:val="false"/>
          <w:iCs w:val="false"/>
          <w:color w:val="000000"/>
          <w:sz w:val="22"/>
          <w:szCs w:val="22"/>
        </w:rPr>
        <w:t xml:space="preserve">Estas reglas se implementan como validaciones del sistema (no opcionales) y bloquean transiciones del workflow cuando no se cumplen. Son las reglas que protegen la integridad del proceso y mitigan los riesgos identificados en el diagnóstico.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RN1 — No hay OC sin SC aprobada y cotización seleccionada</w:t>
            </w:r>
          </w:p>
          <w:p>
            <w:pPr>
              <w:spacing w:after="0" w:before="0"/>
              <w:jc w:val="both"/>
            </w:pPr>
            <w:r>
              <w:rPr>
                <w:rFonts w:ascii="Arial" w:cs="Arial" w:eastAsia="Arial" w:hAnsi="Arial"/>
                <w:sz w:val="20"/>
                <w:szCs w:val="20"/>
              </w:rPr>
              <w:t xml:space="preserve">El sistema impide la creación de Orden de Compra si no existe una SC con estado "Aprobada Valorización" y una cotización marcada como ganadora. La OC siempre referencia a ambos elementos por FK inmutable.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RN2 — No hay procesamiento de factura sin Recepción Conforme</w:t>
            </w:r>
          </w:p>
          <w:p>
            <w:pPr>
              <w:spacing w:after="0" w:before="0"/>
              <w:jc w:val="both"/>
            </w:pPr>
            <w:r>
              <w:rPr>
                <w:rFonts w:ascii="Arial" w:cs="Arial" w:eastAsia="Arial" w:hAnsi="Arial"/>
                <w:sz w:val="20"/>
                <w:szCs w:val="20"/>
              </w:rPr>
              <w:t xml:space="preserve">El motor de matching 3-way rechaza automáticamente cualquier factura asociada a una OC que no tenga al menos una Recepción Conforme registrada en el sistema. Esta es la regla que tu propio proceso destaca como crítica: "Sin recepción conforme NO SE PROCESA NINGUNA FACTURA".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RN3 — Validación presupuestaria es precondición de cotización</w:t>
            </w:r>
          </w:p>
          <w:p>
            <w:pPr>
              <w:spacing w:after="0" w:before="0"/>
              <w:jc w:val="both"/>
            </w:pPr>
            <w:r>
              <w:rPr>
                <w:rFonts w:ascii="Arial" w:cs="Arial" w:eastAsia="Arial" w:hAnsi="Arial"/>
                <w:sz w:val="20"/>
                <w:szCs w:val="20"/>
              </w:rPr>
              <w:t xml:space="preserve">Una SC no puede pasar a Fase 2 (cotización) sin haber sido liberada por Finanzas mediante validación presupuestaria positiva. Si Finanzas congela la SC, queda en estado "Congelada" hasta que haya autorización superior.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RN4 — Ventana SII de 8 días hábiles</w:t>
            </w:r>
          </w:p>
          <w:p>
            <w:pPr>
              <w:spacing w:after="0" w:before="0"/>
              <w:jc w:val="both"/>
            </w:pPr>
            <w:r>
              <w:rPr>
                <w:rFonts w:ascii="Arial" w:cs="Arial" w:eastAsia="Arial" w:hAnsi="Arial"/>
                <w:sz w:val="20"/>
                <w:szCs w:val="20"/>
              </w:rPr>
              <w:t xml:space="preserve">Toda factura DTE recibida activa un timer de 8 días hábiles. El sistema alerta proactivamente al día 5 y al día 7. Al día 8 sin acción, la factura escala automáticamente al Gerente de Finanzas para evitar aceptación tácita.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RN5 — Inmutabilidad del log</w:t>
            </w:r>
          </w:p>
          <w:p>
            <w:pPr>
              <w:spacing w:after="0" w:before="0"/>
              <w:jc w:val="both"/>
            </w:pPr>
            <w:r>
              <w:rPr>
                <w:rFonts w:ascii="Arial" w:cs="Arial" w:eastAsia="Arial" w:hAnsi="Arial"/>
                <w:sz w:val="20"/>
                <w:szCs w:val="20"/>
              </w:rPr>
              <w:t xml:space="preserve">Ninguna acción registrada en el log de auditoría puede ser editada ni eliminada. Las correcciones se hacen mediante nuevas acciones que enmiendan, no que sobrescriben. Cada acción registra: timestamp UTC, usuario, IP, rol activo, acción, antes/después.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RN6 — Coincidencia de montos en matching 3-way</w:t>
            </w:r>
          </w:p>
          <w:p>
            <w:pPr>
              <w:spacing w:after="0" w:before="0"/>
              <w:jc w:val="both"/>
            </w:pPr>
            <w:r>
              <w:rPr>
                <w:rFonts w:ascii="Arial" w:cs="Arial" w:eastAsia="Arial" w:hAnsi="Arial"/>
                <w:sz w:val="20"/>
                <w:szCs w:val="20"/>
              </w:rPr>
              <w:t xml:space="preserve">El matching 3-way valida que el monto de la factura coincida con el monto de la OC dentro de una tolerancia configurable (default ±2%). Si la diferencia supera la tolerancia, se rechaza el matching y se exige Nota de Crédito/Débito al proveedor.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RN7 — Catálogo maestro como fuente única</w:t>
            </w:r>
          </w:p>
          <w:p>
            <w:pPr>
              <w:spacing w:after="0" w:before="0"/>
              <w:jc w:val="both"/>
            </w:pPr>
            <w:r>
              <w:rPr>
                <w:rFonts w:ascii="Arial" w:cs="Arial" w:eastAsia="Arial" w:hAnsi="Arial"/>
                <w:sz w:val="20"/>
                <w:szCs w:val="20"/>
              </w:rPr>
              <w:t xml:space="preserve">Toda línea de SC, OC y factura debe referenciar un SKU del catálogo maestro. Las solicitudes con ítems "ad-hoc" (sin SKU) requieren creación previa del SKU por parte de Abastecimiento o el Administrador del Workflow.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FFF2CC"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RN8 — Ciclos máximos de recotización</w:t>
            </w:r>
          </w:p>
          <w:p>
            <w:pPr>
              <w:spacing w:after="0" w:before="0"/>
              <w:jc w:val="both"/>
            </w:pPr>
            <w:r>
              <w:rPr>
                <w:rFonts w:ascii="Arial" w:cs="Arial" w:eastAsia="Arial" w:hAnsi="Arial"/>
                <w:sz w:val="20"/>
                <w:szCs w:val="20"/>
              </w:rPr>
              <w:t xml:space="preserve">Configurable en N ciclos (default: 2). Una vez alcanzado el límite, una nueva recotización requiere aprobación gerencial explícita. Esto evita ciclos infinitos que demoran el proceso.</w:t>
            </w:r>
          </w:p>
        </w:tc>
      </w:tr>
    </w:tbl>
    <w:p>
      <w:pPr>
        <w:pStyle w:val="Heading1"/>
        <w:pageBreakBefore/>
        <w:spacing w:after="200" w:before="360"/>
      </w:pPr>
      <w:r>
        <w:rPr>
          <w:rFonts w:ascii="Arial" w:cs="Arial" w:eastAsia="Arial" w:hAnsi="Arial"/>
          <w:b/>
          <w:bCs/>
          <w:color w:val="1F4E79"/>
          <w:sz w:val="32"/>
          <w:szCs w:val="32"/>
        </w:rPr>
        <w:t xml:space="preserve">10. Integraciones con Sistemas Externos</w:t>
      </w:r>
    </w:p>
    <w:p>
      <w:pPr>
        <w:pStyle w:val="Heading2"/>
        <w:spacing w:after="120" w:before="240"/>
      </w:pPr>
      <w:r>
        <w:rPr>
          <w:rFonts w:ascii="Arial" w:cs="Arial" w:eastAsia="Arial" w:hAnsi="Arial"/>
          <w:b/>
          <w:bCs/>
          <w:color w:val="1F4E79"/>
          <w:sz w:val="26"/>
          <w:szCs w:val="26"/>
        </w:rPr>
        <w:t xml:space="preserve">10.1 Mapa de integraciones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360"/>
        <w:gridCol w:w="14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Sistema</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Tipo de integración</w:t>
            </w:r>
          </w:p>
        </w:tc>
        <w:tc>
          <w:tcPr>
            <w:tcW w:type="dxa" w:w="3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Datos que fluyen</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Criticidad</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ERP (Softland)</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Bidireccional vía API</w:t>
            </w:r>
          </w:p>
        </w:tc>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OC, libro de compras, CxP, plan de cuentas, centros de costo.</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SII (DTE)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Lectura de buzón / API</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Notificaciones de DTE recibidos, acciones de aceptación/reclamo.</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Alta</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SharePoint</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API REST</w:t>
            </w:r>
          </w:p>
        </w:tc>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Repositorio documental: cotizaciones, certificados, actas, OC en PDF.</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Active Directory / SSO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SAML 2.0</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Autenticación corporativa unificada.</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Alta</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Servicio de email (SMTP)</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SMTP</w:t>
            </w:r>
          </w:p>
        </w:tc>
        <w:tc>
          <w:tcPr>
            <w:tcW w:type="dxa" w:w="3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Notificaciones a usuarios y envío de OC a proveedores.</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BI / Data Warehouse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ETL / API</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Datos para análisis avanzado y dashboards corporativos.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Baja (Fase 3)</w:t>
            </w:r>
          </w:p>
        </w:tc>
      </w:tr>
    </w:tbl>
    <w:p>
      <w:pPr>
        <w:pStyle w:val="Heading2"/>
        <w:spacing w:after="120" w:before="240"/>
      </w:pPr>
      <w:r>
        <w:rPr>
          <w:rFonts w:ascii="Arial" w:cs="Arial" w:eastAsia="Arial" w:hAnsi="Arial"/>
          <w:b/>
          <w:bCs/>
          <w:color w:val="1F4E79"/>
          <w:sz w:val="26"/>
          <w:szCs w:val="26"/>
        </w:rPr>
        <w:t xml:space="preserve">10.2 Flujos críticos de integración</w:t>
      </w:r>
    </w:p>
    <w:p>
      <w:pPr>
        <w:pStyle w:val="Heading3"/>
        <w:spacing w:after="80" w:before="180"/>
      </w:pPr>
      <w:r>
        <w:rPr>
          <w:rFonts w:ascii="Arial" w:cs="Arial" w:eastAsia="Arial" w:hAnsi="Arial"/>
          <w:b/>
          <w:bCs/>
          <w:color w:val="2E75B6"/>
          <w:sz w:val="22"/>
          <w:szCs w:val="22"/>
        </w:rPr>
        <w:t xml:space="preserve">10.2.1 Sincronización con ERP</w:t>
      </w:r>
    </w:p>
    <w:p>
      <w:pPr>
        <w:pStyle w:val="ListParagraph"/>
        <w:numPr>
          <w:ilvl w:val="0"/>
          <w:numId w:val="2"/>
        </w:numPr>
        <w:spacing w:after="40" w:before="40"/>
      </w:pPr>
      <w:r>
        <w:rPr>
          <w:rFonts w:ascii="Arial" w:cs="Arial" w:eastAsia="Arial" w:hAnsi="Arial"/>
          <w:sz w:val="22"/>
          <w:szCs w:val="22"/>
        </w:rPr>
        <w:t xml:space="preserve">Catálogo de centros de costo y plan de cuentas se sincroniza desde ERP cada 24 horas.</w:t>
      </w:r>
    </w:p>
    <w:p>
      <w:pPr>
        <w:pStyle w:val="ListParagraph"/>
        <w:numPr>
          <w:ilvl w:val="0"/>
          <w:numId w:val="2"/>
        </w:numPr>
        <w:spacing w:after="40" w:before="40"/>
      </w:pPr>
      <w:r>
        <w:rPr>
          <w:rFonts w:ascii="Arial" w:cs="Arial" w:eastAsia="Arial" w:hAnsi="Arial"/>
          <w:sz w:val="22"/>
          <w:szCs w:val="22"/>
        </w:rPr>
        <w:t xml:space="preserve">OC aprobada se exporta a ERP automáticamente al cambiar a estado "Aprobada".</w:t>
      </w:r>
    </w:p>
    <w:p>
      <w:pPr>
        <w:pStyle w:val="ListParagraph"/>
        <w:numPr>
          <w:ilvl w:val="0"/>
          <w:numId w:val="2"/>
        </w:numPr>
        <w:spacing w:after="40" w:before="40"/>
      </w:pPr>
      <w:r>
        <w:rPr>
          <w:rFonts w:ascii="Arial" w:cs="Arial" w:eastAsia="Arial" w:hAnsi="Arial"/>
          <w:sz w:val="22"/>
          <w:szCs w:val="22"/>
        </w:rPr>
        <w:t xml:space="preserve">CxP registrada en SGP se publica al ERP en tiempo real (transacción atómica).</w:t>
      </w:r>
    </w:p>
    <w:p>
      <w:pPr>
        <w:pStyle w:val="ListParagraph"/>
        <w:numPr>
          <w:ilvl w:val="0"/>
          <w:numId w:val="2"/>
        </w:numPr>
        <w:spacing w:after="40" w:before="40"/>
      </w:pPr>
      <w:r>
        <w:rPr>
          <w:rFonts w:ascii="Arial" w:cs="Arial" w:eastAsia="Arial" w:hAnsi="Arial"/>
          <w:sz w:val="22"/>
          <w:szCs w:val="22"/>
        </w:rPr>
        <w:t xml:space="preserve">En caso de falla de comunicación, el sistema mantiene cola de reintentos con alerta al Administrador.</w:t>
      </w:r>
    </w:p>
    <w:p>
      <w:pPr>
        <w:pStyle w:val="Heading3"/>
        <w:spacing w:after="80" w:before="180"/>
      </w:pPr>
      <w:r>
        <w:rPr>
          <w:rFonts w:ascii="Arial" w:cs="Arial" w:eastAsia="Arial" w:hAnsi="Arial"/>
          <w:b/>
          <w:bCs/>
          <w:color w:val="2E75B6"/>
          <w:sz w:val="22"/>
          <w:szCs w:val="22"/>
        </w:rPr>
        <w:t xml:space="preserve">10.2.2 Integración SII / DTE</w:t>
      </w:r>
    </w:p>
    <w:p>
      <w:pPr>
        <w:pStyle w:val="ListParagraph"/>
        <w:numPr>
          <w:ilvl w:val="0"/>
          <w:numId w:val="2"/>
        </w:numPr>
        <w:spacing w:after="40" w:before="40"/>
      </w:pPr>
      <w:r>
        <w:rPr>
          <w:rFonts w:ascii="Arial" w:cs="Arial" w:eastAsia="Arial" w:hAnsi="Arial"/>
          <w:sz w:val="22"/>
          <w:szCs w:val="22"/>
        </w:rPr>
        <w:t xml:space="preserve">Lectura periódica del buzón DTE (cada 15 minutos) o suscripción a webhooks SII si está disponible.</w:t>
      </w:r>
    </w:p>
    <w:p>
      <w:pPr>
        <w:pStyle w:val="ListParagraph"/>
        <w:numPr>
          <w:ilvl w:val="0"/>
          <w:numId w:val="2"/>
        </w:numPr>
        <w:spacing w:after="40" w:before="40"/>
      </w:pPr>
      <w:r>
        <w:rPr>
          <w:rFonts w:ascii="Arial" w:cs="Arial" w:eastAsia="Arial" w:hAnsi="Arial"/>
          <w:sz w:val="22"/>
          <w:szCs w:val="22"/>
        </w:rPr>
        <w:t xml:space="preserve">Identificación automática del proveedor mediante RUT y vinculación a OC abiertas.</w:t>
      </w:r>
    </w:p>
    <w:p>
      <w:pPr>
        <w:pStyle w:val="ListParagraph"/>
        <w:numPr>
          <w:ilvl w:val="0"/>
          <w:numId w:val="2"/>
        </w:numPr>
        <w:spacing w:after="40" w:before="40"/>
      </w:pPr>
      <w:r>
        <w:rPr>
          <w:rFonts w:ascii="Arial" w:cs="Arial" w:eastAsia="Arial" w:hAnsi="Arial"/>
          <w:sz w:val="22"/>
          <w:szCs w:val="22"/>
        </w:rPr>
        <w:t xml:space="preserve">Activación del timer de 8 días hábiles al momento de recepción del DTE.</w:t>
      </w:r>
    </w:p>
    <w:p>
      <w:pPr>
        <w:pStyle w:val="ListParagraph"/>
        <w:numPr>
          <w:ilvl w:val="0"/>
          <w:numId w:val="2"/>
        </w:numPr>
        <w:spacing w:after="40" w:before="40"/>
      </w:pPr>
      <w:r>
        <w:rPr>
          <w:rFonts w:ascii="Arial" w:cs="Arial" w:eastAsia="Arial" w:hAnsi="Arial"/>
          <w:sz w:val="22"/>
          <w:szCs w:val="22"/>
        </w:rPr>
        <w:t xml:space="preserve">Acciones de aceptación/reclamo se ejecutan vía API SII y se registran en SGP.</w:t>
      </w:r>
    </w:p>
    <w:p>
      <w:pPr>
        <w:pStyle w:val="Heading3"/>
        <w:spacing w:after="80" w:before="180"/>
      </w:pPr>
      <w:r>
        <w:rPr>
          <w:rFonts w:ascii="Arial" w:cs="Arial" w:eastAsia="Arial" w:hAnsi="Arial"/>
          <w:b/>
          <w:bCs/>
          <w:color w:val="2E75B6"/>
          <w:sz w:val="22"/>
          <w:szCs w:val="22"/>
        </w:rPr>
        <w:t xml:space="preserve">10.2.3 Repositorio documental</w:t>
      </w:r>
    </w:p>
    <w:p>
      <w:pPr>
        <w:pStyle w:val="ListParagraph"/>
        <w:numPr>
          <w:ilvl w:val="0"/>
          <w:numId w:val="2"/>
        </w:numPr>
        <w:spacing w:after="40" w:before="40"/>
      </w:pPr>
      <w:r>
        <w:rPr>
          <w:rFonts w:ascii="Arial" w:cs="Arial" w:eastAsia="Arial" w:hAnsi="Arial"/>
          <w:sz w:val="22"/>
          <w:szCs w:val="22"/>
        </w:rPr>
        <w:t xml:space="preserve">Todos los archivos adjuntos (cotizaciones, fotos, actas, OC en PDF) se almacenan en SharePoint.</w:t>
      </w:r>
    </w:p>
    <w:p>
      <w:pPr>
        <w:pStyle w:val="ListParagraph"/>
        <w:numPr>
          <w:ilvl w:val="0"/>
          <w:numId w:val="2"/>
        </w:numPr>
        <w:spacing w:after="40" w:before="40"/>
      </w:pPr>
      <w:r>
        <w:rPr>
          <w:rFonts w:ascii="Arial" w:cs="Arial" w:eastAsia="Arial" w:hAnsi="Arial"/>
          <w:sz w:val="22"/>
          <w:szCs w:val="22"/>
        </w:rPr>
        <w:t xml:space="preserve">SGP mantiene solo metadatos y enlaces; los archivos viven en SharePoint con permisos heredados.</w:t>
      </w:r>
    </w:p>
    <w:p>
      <w:pPr>
        <w:pStyle w:val="ListParagraph"/>
        <w:numPr>
          <w:ilvl w:val="0"/>
          <w:numId w:val="2"/>
        </w:numPr>
        <w:spacing w:after="40" w:before="40"/>
      </w:pPr>
      <w:r>
        <w:rPr>
          <w:rFonts w:ascii="Arial" w:cs="Arial" w:eastAsia="Arial" w:hAnsi="Arial"/>
          <w:sz w:val="22"/>
          <w:szCs w:val="22"/>
        </w:rPr>
        <w:t xml:space="preserve">Estructura de carpetas: /Compras/{Año}/{Empresa}/{CC}/{N°SC}/.</w:t>
      </w:r>
    </w:p>
    <w:p>
      <w:pPr>
        <w:pStyle w:val="Heading1"/>
        <w:pageBreakBefore/>
        <w:spacing w:after="200" w:before="360"/>
      </w:pPr>
      <w:r>
        <w:rPr>
          <w:rFonts w:ascii="Arial" w:cs="Arial" w:eastAsia="Arial" w:hAnsi="Arial"/>
          <w:b/>
          <w:bCs/>
          <w:color w:val="1F4E79"/>
          <w:sz w:val="32"/>
          <w:szCs w:val="32"/>
        </w:rPr>
        <w:t xml:space="preserve">11.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Categoría</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Requerimiento</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Disponibilidad</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99.5% en horario laboral (Lun–Vie 7:00–20:00). 99.0% en horario extendido.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Rendimiento</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Tiempo de carga de cualquier vista &lt; 3 segundos. Validación 3-way &lt; 500 ms. Búsqueda en catálogo &lt; 1 segundo.</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Seguridad</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Autenticación SSO/SAML. RBAC (control de acceso basado en roles). Cifrado en tránsito (TLS 1.3) y en reposo (AES-256). Cumplimiento Ley 19.628 sobre datos personales.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Escalabilidad</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Soportar 200 usuarios concurrentes y 1.000+ SC mensuales. Arquitectura horizontalmente escalable.</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Integrabilidad</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API REST documentada (OpenAPI 3.0). Webhooks para eventos del workflow. Compatibilidad con ERP Softland y SII.</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Usabilidad</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Interfaz responsiva (desktop, tablet, móvil). Curva de aprendizaje &lt; 2 horas para Solicitante. Soporte de idioma español.</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Auditabilidad</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Log inmutable con retención mínima de 7 años (cumple normativa tributaria). Exportable en formatos estándar.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Trazabilidad</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100% de acciones registradas con timestamp UTC, usuario, IP, rol activo, acción y delta de cambio.</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Respaldo</w:t>
            </w:r>
          </w:p>
        </w:tc>
        <w:tc>
          <w:tcPr>
            <w:tcW w:type="dxa" w:w="6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Backup diario incremental + semanal completo. Retención 12 meses online + 7 años en archivo frío. RTO &lt; 4h, RPO &lt; 1h.</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Continuidad operacional</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Modo degradado offline para creación de SC en bodega/terreno con sincronización posterior.</w:t>
            </w:r>
          </w:p>
        </w:tc>
      </w:tr>
    </w:tbl>
    <w:p>
      <w:pPr>
        <w:pStyle w:val="Heading1"/>
        <w:pageBreakBefore/>
        <w:spacing w:after="200" w:before="360"/>
      </w:pPr>
      <w:r>
        <w:rPr>
          <w:rFonts w:ascii="Arial" w:cs="Arial" w:eastAsia="Arial" w:hAnsi="Arial"/>
          <w:b/>
          <w:bCs/>
          <w:color w:val="1F4E79"/>
          <w:sz w:val="32"/>
          <w:szCs w:val="32"/>
        </w:rPr>
        <w:t xml:space="preserve">12. Análisis Comparativo: Antes vs.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Dimensión</w:t>
            </w:r>
          </w:p>
        </w:tc>
        <w:tc>
          <w:tcPr>
            <w:tcW w:type="dxa" w:w="3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Antes (Situación Actual)</w:t>
            </w:r>
          </w:p>
        </w:tc>
        <w:tc>
          <w:tcPr>
            <w:tcW w:type="dxa" w:w="3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Después (Con SGP)</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Canal</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WhatsApp, correo, verbal</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Plataforma única centralizada</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Calidad de información</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Texto libre, sin catálogo</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Catálogo maestro + taxonomía</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Cotización</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Excel manual, sin histórico</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RFQ estructurado + comparativo automático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Aprobación SC</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Verbal o por correo</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Multinivel digital con SLA</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Aprobación OC</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Firma física</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Firma digital móvil con matriz por monto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Validación presupuestaria</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Manual y a posteriori</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Automática y bloqueante</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Recepción</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A veces no se registra</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Gate bloqueante para factura</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Matching factura</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Manual, sujeto a error</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3-way automático y trazable</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Ventana SII</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Sin control sistemático</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Timer y alertas automáticas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Trazabilidad</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Inexistente</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Historial inmutable end-to-end</w:t>
            </w:r>
          </w:p>
        </w:tc>
      </w:tr>
      <w:tr>
        <w:trPr>
          <w:tblHeader w:val="false"/>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bCs/>
                <w:color w:val="000000"/>
                <w:sz w:val="20"/>
                <w:szCs w:val="20"/>
              </w:rPr>
              <w:t xml:space="preserve">Métricas y reportes</w:t>
            </w:r>
          </w:p>
        </w:tc>
        <w:tc>
          <w:tcPr>
            <w:tcW w:type="dxa" w:w="348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No existen</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Dashboard y reportes automáticos</w:t>
            </w:r>
          </w:p>
        </w:tc>
      </w:tr>
    </w:tbl>
    <w:p>
      <w:pPr>
        <w:pStyle w:val="Heading1"/>
        <w:pageBreakBefore/>
        <w:spacing w:after="200" w:before="360"/>
      </w:pPr>
      <w:r>
        <w:rPr>
          <w:rFonts w:ascii="Arial" w:cs="Arial" w:eastAsia="Arial" w:hAnsi="Arial"/>
          <w:b/>
          <w:bCs/>
          <w:color w:val="1F4E79"/>
          <w:sz w:val="32"/>
          <w:szCs w:val="32"/>
        </w:rPr>
        <w:t xml:space="preserve">13. Resultados Esperados y KPIs</w:t>
      </w:r>
    </w:p>
    <w:p>
      <w:pPr>
        <w:pStyle w:val="Heading2"/>
        <w:spacing w:after="120" w:before="240"/>
      </w:pPr>
      <w:r>
        <w:rPr>
          <w:rFonts w:ascii="Arial" w:cs="Arial" w:eastAsia="Arial" w:hAnsi="Arial"/>
          <w:b/>
          <w:bCs/>
          <w:color w:val="1F4E79"/>
          <w:sz w:val="26"/>
          <w:szCs w:val="26"/>
        </w:rPr>
        <w:t xml:space="preserve">13.1 Beneficios tangibles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Beneficio</w:t>
            </w:r>
          </w:p>
        </w:tc>
        <w:tc>
          <w:tcPr>
            <w:tcW w:type="dxa" w:w="40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Descripción</w:t>
            </w:r>
          </w:p>
        </w:tc>
        <w:tc>
          <w:tcPr>
            <w:tcW w:type="dxa" w:w="30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Indicador de éxito</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Calidad de información</w:t>
            </w:r>
          </w:p>
        </w:tc>
        <w:tc>
          <w:tcPr>
            <w:tcW w:type="dxa" w:w="4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Datos estructurados que permiten análisis estratégico de gasto.</w:t>
            </w:r>
          </w:p>
        </w:tc>
        <w:tc>
          <w:tcPr>
            <w:tcW w:type="dxa" w:w="3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90% de SC vinculadas a SKU del catálogo en mes 6.</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Aceleración del ciclo</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Reducción de tiempos por herencia de datos, notificaciones y SLAs.</w:t>
            </w:r>
          </w:p>
        </w:tc>
        <w:tc>
          <w:tcPr>
            <w:tcW w:type="dxa" w:w="3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Reducción del ciclo SC→OC en ≥ 40% respecto a línea base.</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Control financiero real</w:t>
            </w:r>
          </w:p>
        </w:tc>
        <w:tc>
          <w:tcPr>
            <w:tcW w:type="dxa" w:w="4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Visibilidad presupuestaria en línea por CC y período.</w:t>
            </w:r>
          </w:p>
        </w:tc>
        <w:tc>
          <w:tcPr>
            <w:tcW w:type="dxa" w:w="3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Desviación presupuestaria mensual &lt; 5%.</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Eliminación de compras informales</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Todo gasto pasa por el sistema con respaldo formal.</w:t>
            </w:r>
          </w:p>
        </w:tc>
        <w:tc>
          <w:tcPr>
            <w:tcW w:type="dxa" w:w="3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100% de OC con SC y cotización vinculadas.</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Reducción de error documental</w:t>
            </w:r>
          </w:p>
        </w:tc>
        <w:tc>
          <w:tcPr>
            <w:tcW w:type="dxa" w:w="4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Matching 3-way automático elimina conciliación manual.</w:t>
            </w:r>
          </w:p>
        </w:tc>
        <w:tc>
          <w:tcPr>
            <w:tcW w:type="dxa" w:w="3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0 facturas pagadas con matching incompleto.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Mitigación riesgo SII</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Control sistemático de la ventana de 8 días hábiles.</w:t>
            </w:r>
          </w:p>
        </w:tc>
        <w:tc>
          <w:tcPr>
            <w:tcW w:type="dxa" w:w="3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0 facturas con aceptación tácita por vencimiento.</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Capacidad de auditoría</w:t>
            </w:r>
          </w:p>
        </w:tc>
        <w:tc>
          <w:tcPr>
            <w:tcW w:type="dxa" w:w="4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Evidencia estructurada e inmutable de cada acción.</w:t>
            </w:r>
          </w:p>
        </w:tc>
        <w:tc>
          <w:tcPr>
            <w:tcW w:type="dxa" w:w="30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Certificación audit-ready en revisión externa.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Datos para optimización</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Métricas que habilitan mejora continua y contratos marco.</w:t>
            </w:r>
          </w:p>
        </w:tc>
        <w:tc>
          <w:tcPr>
            <w:tcW w:type="dxa" w:w="3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Identificación trimestral de Top SKU recurrentes.</w:t>
            </w:r>
          </w:p>
        </w:tc>
      </w:tr>
    </w:tbl>
    <w:p>
      <w:pPr>
        <w:pStyle w:val="Heading2"/>
        <w:spacing w:after="120" w:before="240"/>
      </w:pPr>
      <w:r>
        <w:rPr>
          <w:rFonts w:ascii="Arial" w:cs="Arial" w:eastAsia="Arial" w:hAnsi="Arial"/>
          <w:b/>
          <w:bCs/>
          <w:color w:val="1F4E79"/>
          <w:sz w:val="26"/>
          <w:szCs w:val="26"/>
        </w:rPr>
        <w:t xml:space="preserve">13.2 KPIs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KPI</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Línea base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Objetivo (mes 6)</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Objetivo (mes 12)</w:t>
            </w:r>
          </w:p>
        </w:tc>
      </w:tr>
      <w:tr>
        <w:trPr>
          <w:tblHeader w:val="false"/>
        </w:trPr>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Tiempo de ciclo SC→OC (días hábiles)</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Por medir</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&lt; 7 días</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&lt; 5 días</w:t>
            </w:r>
          </w:p>
        </w:tc>
      </w:tr>
      <w:tr>
        <w:trPr>
          <w:tblHeader w:val="false"/>
        </w:trPr>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Tasa de aprobación SC en primer envío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 medible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&gt; 75%</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&gt; 85%</w:t>
            </w:r>
          </w:p>
        </w:tc>
      </w:tr>
      <w:tr>
        <w:trPr>
          <w:tblHeader w:val="false"/>
        </w:trPr>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Ciclos promedio de recotización</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 medible</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&lt; 1.3</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&lt; 1.1</w:t>
            </w:r>
          </w:p>
        </w:tc>
      </w:tr>
      <w:tr>
        <w:trPr>
          <w:tblHeader w:val="false"/>
        </w:trPr>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SC vinculadas a SKU del catálogo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90%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98%</w:t>
            </w:r>
          </w:p>
        </w:tc>
      </w:tr>
      <w:tr>
        <w:trPr>
          <w:tblHeader w:val="false"/>
        </w:trPr>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OC con matching 3-way exitoso</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 medible</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95%</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99%</w:t>
            </w:r>
          </w:p>
        </w:tc>
      </w:tr>
      <w:tr>
        <w:trPr>
          <w:tblHeader w:val="false"/>
        </w:trPr>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Facturas validadas dentro de 8 días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No medible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100%</w:t>
            </w:r>
          </w:p>
        </w:tc>
      </w:tr>
      <w:tr>
        <w:trPr>
          <w:tblHeader w:val="false"/>
        </w:trPr>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Adopción del sistema</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&gt; 80%</w:t>
            </w:r>
          </w:p>
        </w:tc>
        <w:tc>
          <w:tcPr>
            <w:tcW w:type="dxa" w:w="1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&gt; 95%</w:t>
            </w:r>
          </w:p>
        </w:tc>
      </w:tr>
      <w:tr>
        <w:trPr>
          <w:tblHeader w:val="false"/>
        </w:trPr>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Satisfacción de usuarios (encuesta 1-5)</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&gt; 3.8</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&gt; 4.2</w:t>
            </w:r>
          </w:p>
        </w:tc>
      </w:tr>
    </w:tbl>
    <w:p>
      <w:pPr>
        <w:pStyle w:val="Heading1"/>
        <w:pageBreakBefore/>
        <w:spacing w:after="200" w:before="360"/>
      </w:pPr>
      <w:r>
        <w:rPr>
          <w:rFonts w:ascii="Arial" w:cs="Arial" w:eastAsia="Arial" w:hAnsi="Arial"/>
          <w:b/>
          <w:bCs/>
          <w:color w:val="1F4E79"/>
          <w:sz w:val="32"/>
          <w:szCs w:val="32"/>
        </w:rPr>
        <w:t xml:space="preserve">14. Roadmap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500"/>
        <w:gridCol w:w="17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Fase</w:t>
            </w:r>
          </w:p>
        </w:tc>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Entregables</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Duración</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Dependencias</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F0 — Levantamiento</w:t>
            </w:r>
          </w:p>
        </w:tc>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Validación de catálogo maestro, refinamiento BPMN, definición final de matrices SC/OC, parametrización presupuestaria.</w:t>
            </w:r>
          </w:p>
        </w:tc>
        <w:tc>
          <w:tcPr>
            <w:tcW w:type="dxa" w:w="1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3–4 semanas</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Acceso a stakeholders y datos históricos.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F1 — MVP Solicitud + Cotización</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Módulos de SC, aprobaciones de SC, validación presupuestaria, RFQ, valorización, decisión. Catálogo maestro v1. Dashboard básico.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8–10 semanas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F0 completada.</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F2 — OC + Recepción</w:t>
            </w:r>
          </w:p>
        </w:tc>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Módulo de OC con matriz dual, aprobación digital, integración con ERP (envío de OC), módulo de recepción con gate bloqueante.</w:t>
            </w:r>
          </w:p>
        </w:tc>
        <w:tc>
          <w:tcPr>
            <w:tcW w:type="dxa" w:w="1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6–8 semanas</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F1 en producción estable.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F3 — Factura + SII</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Integración SII (DTE), matching 3-way automático, timer de 8 días, registro de CxP en ERP.</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6–8 semanas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F2 en producción estable + acceso a buzón DTE.</w:t>
            </w:r>
          </w:p>
        </w:tc>
      </w:tr>
      <w:tr>
        <w:trPr>
          <w:tblHeader w:val="false"/>
        </w:trPr>
        <w:tc>
          <w:tcPr>
            <w:tcW w:type="dxa" w:w="2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F4 — Reportes y BI</w:t>
            </w:r>
          </w:p>
        </w:tc>
        <w:tc>
          <w:tcPr>
            <w:tcW w:type="dxa" w:w="39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Dashboards avanzados, análisis de gasto, integración con Data Warehouse corporativo, reportes ejecutivos automáticos.</w:t>
            </w:r>
          </w:p>
        </w:tc>
        <w:tc>
          <w:tcPr>
            <w:tcW w:type="dxa" w:w="1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4–6 semanas</w:t>
            </w:r>
          </w:p>
        </w:tc>
        <w:tc>
          <w:tcPr>
            <w:tcW w:type="dxa" w:w="17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F3 estable con datos históricos.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F5 — Optimización continua</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Nuevos módulos: gestión avanzada de proveedores, contratos marco, evaluación de desempeño.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Continuo</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Feedback de uso (≥ 6 meses post F3).</w:t>
            </w:r>
          </w:p>
        </w:tc>
      </w:tr>
    </w:tbl>
    <w:p>
      <w:pPr>
        <w:pStyle w:val="Heading1"/>
        <w:pageBreakBefore/>
        <w:spacing w:after="200" w:before="360"/>
      </w:pPr>
      <w:r>
        <w:rPr>
          <w:rFonts w:ascii="Arial" w:cs="Arial" w:eastAsia="Arial" w:hAnsi="Arial"/>
          <w:b/>
          <w:bCs/>
          <w:color w:val="1F4E79"/>
          <w:sz w:val="32"/>
          <w:szCs w:val="32"/>
        </w:rPr>
        <w:t xml:space="preserve">15. Criterios de Aceptación por Fase</w:t>
      </w:r>
    </w:p>
    <w:p>
      <w:pPr>
        <w:pStyle w:val="Heading2"/>
        <w:spacing w:after="120" w:before="240"/>
      </w:pPr>
      <w:r>
        <w:rPr>
          <w:rFonts w:ascii="Arial" w:cs="Arial" w:eastAsia="Arial" w:hAnsi="Arial"/>
          <w:b/>
          <w:bCs/>
          <w:color w:val="1F4E79"/>
          <w:sz w:val="26"/>
          <w:szCs w:val="26"/>
        </w:rPr>
        <w:t xml:space="preserve">15.1 Fase 1 — MVP Solicitud + Cotización</w:t>
      </w:r>
    </w:p>
    <w:p>
      <w:pPr>
        <w:pStyle w:val="ListParagraph"/>
        <w:numPr>
          <w:ilvl w:val="0"/>
          <w:numId w:val="2"/>
        </w:numPr>
        <w:spacing w:after="40" w:before="40"/>
      </w:pPr>
      <w:r>
        <w:rPr>
          <w:rFonts w:ascii="Arial" w:cs="Arial" w:eastAsia="Arial" w:hAnsi="Arial"/>
          <w:sz w:val="22"/>
          <w:szCs w:val="22"/>
        </w:rPr>
        <w:t xml:space="preserve">Un Solicitante puede crear una SC con SKU del catálogo y todos los campos obligatorios completos.</w:t>
      </w:r>
    </w:p>
    <w:p>
      <w:pPr>
        <w:pStyle w:val="ListParagraph"/>
        <w:numPr>
          <w:ilvl w:val="0"/>
          <w:numId w:val="2"/>
        </w:numPr>
        <w:spacing w:after="40" w:before="40"/>
      </w:pPr>
      <w:r>
        <w:rPr>
          <w:rFonts w:ascii="Arial" w:cs="Arial" w:eastAsia="Arial" w:hAnsi="Arial"/>
          <w:sz w:val="22"/>
          <w:szCs w:val="22"/>
        </w:rPr>
        <w:t xml:space="preserve">La SC se enruta automáticamente al Jefe de Área correspondiente para aprobación de 1er nivel.</w:t>
      </w:r>
    </w:p>
    <w:p>
      <w:pPr>
        <w:pStyle w:val="ListParagraph"/>
        <w:numPr>
          <w:ilvl w:val="0"/>
          <w:numId w:val="2"/>
        </w:numPr>
        <w:spacing w:after="40" w:before="40"/>
      </w:pPr>
      <w:r>
        <w:rPr>
          <w:rFonts w:ascii="Arial" w:cs="Arial" w:eastAsia="Arial" w:hAnsi="Arial"/>
          <w:sz w:val="22"/>
          <w:szCs w:val="22"/>
        </w:rPr>
        <w:t xml:space="preserve">Finanzas valida presupuesto y libera o congela la SC.</w:t>
      </w:r>
    </w:p>
    <w:p>
      <w:pPr>
        <w:pStyle w:val="ListParagraph"/>
        <w:numPr>
          <w:ilvl w:val="0"/>
          <w:numId w:val="2"/>
        </w:numPr>
        <w:spacing w:after="40" w:before="40"/>
      </w:pPr>
      <w:r>
        <w:rPr>
          <w:rFonts w:ascii="Arial" w:cs="Arial" w:eastAsia="Arial" w:hAnsi="Arial"/>
          <w:sz w:val="22"/>
          <w:szCs w:val="22"/>
        </w:rPr>
        <w:t xml:space="preserve">Abastecimiento puede emitir RFQ y registrar cotizaciones recibidas.</w:t>
      </w:r>
    </w:p>
    <w:p>
      <w:pPr>
        <w:pStyle w:val="ListParagraph"/>
        <w:numPr>
          <w:ilvl w:val="0"/>
          <w:numId w:val="2"/>
        </w:numPr>
        <w:spacing w:after="40" w:before="40"/>
      </w:pPr>
      <w:r>
        <w:rPr>
          <w:rFonts w:ascii="Arial" w:cs="Arial" w:eastAsia="Arial" w:hAnsi="Arial"/>
          <w:sz w:val="22"/>
          <w:szCs w:val="22"/>
        </w:rPr>
        <w:t xml:space="preserve">El sistema genera la valorización y la envía al Jefe de Área.</w:t>
      </w:r>
    </w:p>
    <w:p>
      <w:pPr>
        <w:pStyle w:val="ListParagraph"/>
        <w:numPr>
          <w:ilvl w:val="0"/>
          <w:numId w:val="2"/>
        </w:numPr>
        <w:spacing w:after="40" w:before="40"/>
      </w:pPr>
      <w:r>
        <w:rPr>
          <w:rFonts w:ascii="Arial" w:cs="Arial" w:eastAsia="Arial" w:hAnsi="Arial"/>
          <w:sz w:val="22"/>
          <w:szCs w:val="22"/>
        </w:rPr>
        <w:t xml:space="preserve">El Jefe de Área puede aprobar, recotizar (con feedback) o rechazar.</w:t>
      </w:r>
    </w:p>
    <w:p>
      <w:pPr>
        <w:pStyle w:val="ListParagraph"/>
        <w:numPr>
          <w:ilvl w:val="0"/>
          <w:numId w:val="2"/>
        </w:numPr>
        <w:spacing w:after="40" w:before="40"/>
      </w:pPr>
      <w:r>
        <w:rPr>
          <w:rFonts w:ascii="Arial" w:cs="Arial" w:eastAsia="Arial" w:hAnsi="Arial"/>
          <w:sz w:val="22"/>
          <w:szCs w:val="22"/>
        </w:rPr>
        <w:t xml:space="preserve">Existe log inmutable de cada acción ejecutada.</w:t>
      </w:r>
    </w:p>
    <w:p>
      <w:pPr>
        <w:pStyle w:val="Heading2"/>
        <w:spacing w:after="120" w:before="240"/>
      </w:pPr>
      <w:r>
        <w:rPr>
          <w:rFonts w:ascii="Arial" w:cs="Arial" w:eastAsia="Arial" w:hAnsi="Arial"/>
          <w:b/>
          <w:bCs/>
          <w:color w:val="1F4E79"/>
          <w:sz w:val="26"/>
          <w:szCs w:val="26"/>
        </w:rPr>
        <w:t xml:space="preserve">15.2 Fase 2 — OC + Recepción</w:t>
      </w:r>
    </w:p>
    <w:p>
      <w:pPr>
        <w:pStyle w:val="ListParagraph"/>
        <w:numPr>
          <w:ilvl w:val="0"/>
          <w:numId w:val="2"/>
        </w:numPr>
        <w:spacing w:after="40" w:before="40"/>
      </w:pPr>
      <w:r>
        <w:rPr>
          <w:rFonts w:ascii="Arial" w:cs="Arial" w:eastAsia="Arial" w:hAnsi="Arial"/>
          <w:sz w:val="22"/>
          <w:szCs w:val="22"/>
        </w:rPr>
        <w:t xml:space="preserve">La OC se genera con vínculo inmutable a SC y cotización ganadora.</w:t>
      </w:r>
    </w:p>
    <w:p>
      <w:pPr>
        <w:pStyle w:val="ListParagraph"/>
        <w:numPr>
          <w:ilvl w:val="0"/>
          <w:numId w:val="2"/>
        </w:numPr>
        <w:spacing w:after="40" w:before="40"/>
      </w:pPr>
      <w:r>
        <w:rPr>
          <w:rFonts w:ascii="Arial" w:cs="Arial" w:eastAsia="Arial" w:hAnsi="Arial"/>
          <w:sz w:val="22"/>
          <w:szCs w:val="22"/>
        </w:rPr>
        <w:t xml:space="preserve">La OC se aprueba según matriz por monto.</w:t>
      </w:r>
    </w:p>
    <w:p>
      <w:pPr>
        <w:pStyle w:val="ListParagraph"/>
        <w:numPr>
          <w:ilvl w:val="0"/>
          <w:numId w:val="2"/>
        </w:numPr>
        <w:spacing w:after="40" w:before="40"/>
      </w:pPr>
      <w:r>
        <w:rPr>
          <w:rFonts w:ascii="Arial" w:cs="Arial" w:eastAsia="Arial" w:hAnsi="Arial"/>
          <w:sz w:val="22"/>
          <w:szCs w:val="22"/>
        </w:rPr>
        <w:t xml:space="preserve">La OC aprobada se envía al ERP automáticamente.</w:t>
      </w:r>
    </w:p>
    <w:p>
      <w:pPr>
        <w:pStyle w:val="ListParagraph"/>
        <w:numPr>
          <w:ilvl w:val="0"/>
          <w:numId w:val="2"/>
        </w:numPr>
        <w:spacing w:after="40" w:before="40"/>
      </w:pPr>
      <w:r>
        <w:rPr>
          <w:rFonts w:ascii="Arial" w:cs="Arial" w:eastAsia="Arial" w:hAnsi="Arial"/>
          <w:sz w:val="22"/>
          <w:szCs w:val="22"/>
        </w:rPr>
        <w:t xml:space="preserve">Bodega registra recepción de bienes contra OC con cantidad y conformidad.</w:t>
      </w:r>
    </w:p>
    <w:p>
      <w:pPr>
        <w:pStyle w:val="ListParagraph"/>
        <w:numPr>
          <w:ilvl w:val="0"/>
          <w:numId w:val="2"/>
        </w:numPr>
        <w:spacing w:after="40" w:before="40"/>
      </w:pPr>
      <w:r>
        <w:rPr>
          <w:rFonts w:ascii="Arial" w:cs="Arial" w:eastAsia="Arial" w:hAnsi="Arial"/>
          <w:sz w:val="22"/>
          <w:szCs w:val="22"/>
        </w:rPr>
        <w:t xml:space="preserve">Solicitante registra recepción de servicios con acta firmada digitalmente.</w:t>
      </w:r>
    </w:p>
    <w:p>
      <w:pPr>
        <w:pStyle w:val="ListParagraph"/>
        <w:numPr>
          <w:ilvl w:val="0"/>
          <w:numId w:val="2"/>
        </w:numPr>
        <w:spacing w:after="40" w:before="40"/>
      </w:pPr>
      <w:r>
        <w:rPr>
          <w:rFonts w:ascii="Arial" w:cs="Arial" w:eastAsia="Arial" w:hAnsi="Arial"/>
          <w:sz w:val="22"/>
          <w:szCs w:val="22"/>
        </w:rPr>
        <w:t xml:space="preserve">El sistema genera el gate bloqueante de Recepción Conforme.</w:t>
      </w:r>
    </w:p>
    <w:p>
      <w:pPr>
        <w:pStyle w:val="Heading2"/>
        <w:spacing w:after="120" w:before="240"/>
      </w:pPr>
      <w:r>
        <w:rPr>
          <w:rFonts w:ascii="Arial" w:cs="Arial" w:eastAsia="Arial" w:hAnsi="Arial"/>
          <w:b/>
          <w:bCs/>
          <w:color w:val="1F4E79"/>
          <w:sz w:val="26"/>
          <w:szCs w:val="26"/>
        </w:rPr>
        <w:t xml:space="preserve">15.3 Fase 3 — Factura + SII</w:t>
      </w:r>
    </w:p>
    <w:p>
      <w:pPr>
        <w:pStyle w:val="ListParagraph"/>
        <w:numPr>
          <w:ilvl w:val="0"/>
          <w:numId w:val="2"/>
        </w:numPr>
        <w:spacing w:after="40" w:before="40"/>
      </w:pPr>
      <w:r>
        <w:rPr>
          <w:rFonts w:ascii="Arial" w:cs="Arial" w:eastAsia="Arial" w:hAnsi="Arial"/>
          <w:sz w:val="22"/>
          <w:szCs w:val="22"/>
        </w:rPr>
        <w:t xml:space="preserve">El sistema recibe DTE desde SII automáticamente.</w:t>
      </w:r>
    </w:p>
    <w:p>
      <w:pPr>
        <w:pStyle w:val="ListParagraph"/>
        <w:numPr>
          <w:ilvl w:val="0"/>
          <w:numId w:val="2"/>
        </w:numPr>
        <w:spacing w:after="40" w:before="40"/>
      </w:pPr>
      <w:r>
        <w:rPr>
          <w:rFonts w:ascii="Arial" w:cs="Arial" w:eastAsia="Arial" w:hAnsi="Arial"/>
          <w:sz w:val="22"/>
          <w:szCs w:val="22"/>
        </w:rPr>
        <w:t xml:space="preserve">El matching 3-way ejecuta sin intervención manual.</w:t>
      </w:r>
    </w:p>
    <w:p>
      <w:pPr>
        <w:pStyle w:val="ListParagraph"/>
        <w:numPr>
          <w:ilvl w:val="0"/>
          <w:numId w:val="2"/>
        </w:numPr>
        <w:spacing w:after="40" w:before="40"/>
      </w:pPr>
      <w:r>
        <w:rPr>
          <w:rFonts w:ascii="Arial" w:cs="Arial" w:eastAsia="Arial" w:hAnsi="Arial"/>
          <w:sz w:val="22"/>
          <w:szCs w:val="22"/>
        </w:rPr>
        <w:t xml:space="preserve">El timer SII se activa al recibir DTE y genera alertas en día 5 y día 7.</w:t>
      </w:r>
    </w:p>
    <w:p>
      <w:pPr>
        <w:pStyle w:val="ListParagraph"/>
        <w:numPr>
          <w:ilvl w:val="0"/>
          <w:numId w:val="2"/>
        </w:numPr>
        <w:spacing w:after="40" w:before="40"/>
      </w:pPr>
      <w:r>
        <w:rPr>
          <w:rFonts w:ascii="Arial" w:cs="Arial" w:eastAsia="Arial" w:hAnsi="Arial"/>
          <w:sz w:val="22"/>
          <w:szCs w:val="22"/>
        </w:rPr>
        <w:t xml:space="preserve">Finanzas puede aceptar o reclamar facturas con un solo click.</w:t>
      </w:r>
    </w:p>
    <w:p>
      <w:pPr>
        <w:pStyle w:val="ListParagraph"/>
        <w:numPr>
          <w:ilvl w:val="0"/>
          <w:numId w:val="2"/>
        </w:numPr>
        <w:spacing w:after="40" w:before="40"/>
      </w:pPr>
      <w:r>
        <w:rPr>
          <w:rFonts w:ascii="Arial" w:cs="Arial" w:eastAsia="Arial" w:hAnsi="Arial"/>
          <w:sz w:val="22"/>
          <w:szCs w:val="22"/>
        </w:rPr>
        <w:t xml:space="preserve">El registro de CxP llega a ERP en tiempo real.</w:t>
      </w:r>
    </w:p>
    <w:p>
      <w:pPr>
        <w:pStyle w:val="Heading2"/>
        <w:spacing w:after="120" w:before="240"/>
      </w:pPr>
      <w:r>
        <w:rPr>
          <w:rFonts w:ascii="Arial" w:cs="Arial" w:eastAsia="Arial" w:hAnsi="Arial"/>
          <w:b/>
          <w:bCs/>
          <w:color w:val="1F4E79"/>
          <w:sz w:val="26"/>
          <w:szCs w:val="26"/>
        </w:rPr>
        <w:t xml:space="preserve">15.4 Fase 4 — Reportes y BI</w:t>
      </w:r>
    </w:p>
    <w:p>
      <w:pPr>
        <w:pStyle w:val="ListParagraph"/>
        <w:numPr>
          <w:ilvl w:val="0"/>
          <w:numId w:val="2"/>
        </w:numPr>
        <w:spacing w:after="40" w:before="40"/>
      </w:pPr>
      <w:r>
        <w:rPr>
          <w:rFonts w:ascii="Arial" w:cs="Arial" w:eastAsia="Arial" w:hAnsi="Arial"/>
          <w:sz w:val="22"/>
          <w:szCs w:val="22"/>
        </w:rPr>
        <w:t xml:space="preserve">Los reportes reflejan datos reales y actualizados.</w:t>
      </w:r>
    </w:p>
    <w:p>
      <w:pPr>
        <w:pStyle w:val="ListParagraph"/>
        <w:numPr>
          <w:ilvl w:val="0"/>
          <w:numId w:val="2"/>
        </w:numPr>
        <w:spacing w:after="40" w:before="40"/>
      </w:pPr>
      <w:r>
        <w:rPr>
          <w:rFonts w:ascii="Arial" w:cs="Arial" w:eastAsia="Arial" w:hAnsi="Arial"/>
          <w:sz w:val="22"/>
          <w:szCs w:val="22"/>
        </w:rPr>
        <w:t xml:space="preserve">Es posible identificar cuellos de botella por aprobador y etapa.</w:t>
      </w:r>
    </w:p>
    <w:p>
      <w:pPr>
        <w:pStyle w:val="ListParagraph"/>
        <w:numPr>
          <w:ilvl w:val="0"/>
          <w:numId w:val="2"/>
        </w:numPr>
        <w:spacing w:after="40" w:before="40"/>
      </w:pPr>
      <w:r>
        <w:rPr>
          <w:rFonts w:ascii="Arial" w:cs="Arial" w:eastAsia="Arial" w:hAnsi="Arial"/>
          <w:sz w:val="22"/>
          <w:szCs w:val="22"/>
        </w:rPr>
        <w:t xml:space="preserve">Se identifican Top SKU recurrentes para análisis de contrato marco.</w:t>
      </w:r>
    </w:p>
    <w:p>
      <w:pPr>
        <w:pStyle w:val="ListParagraph"/>
        <w:numPr>
          <w:ilvl w:val="0"/>
          <w:numId w:val="2"/>
        </w:numPr>
        <w:spacing w:after="40" w:before="40"/>
      </w:pPr>
      <w:r>
        <w:rPr>
          <w:rFonts w:ascii="Arial" w:cs="Arial" w:eastAsia="Arial" w:hAnsi="Arial"/>
          <w:sz w:val="22"/>
          <w:szCs w:val="22"/>
        </w:rPr>
        <w:t xml:space="preserve">La integración con DW corporativo funciona sin pérdida de datos.</w:t>
      </w:r>
    </w:p>
    <w:p>
      <w:pPr>
        <w:pStyle w:val="Heading1"/>
        <w:pageBreakBefore/>
        <w:spacing w:after="200" w:before="360"/>
      </w:pPr>
      <w:r>
        <w:rPr>
          <w:rFonts w:ascii="Arial" w:cs="Arial" w:eastAsia="Arial" w:hAnsi="Arial"/>
          <w:b/>
          <w:bCs/>
          <w:color w:val="1F4E79"/>
          <w:sz w:val="32"/>
          <w:szCs w:val="32"/>
        </w:rPr>
        <w:t xml:space="preserve">16.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200"/>
        <w:gridCol w:w="3860"/>
      </w:tblGrid>
      <w:tr>
        <w:trPr>
          <w:tblHeader/>
        </w:trPr>
        <w:tc>
          <w:tcPr>
            <w:tcW w:type="dxa" w:w="3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Riesgo</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Probabilidad</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Impacto</w:t>
            </w:r>
          </w:p>
        </w:tc>
        <w:tc>
          <w:tcPr>
            <w:tcW w:type="dxa" w:w="3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Mitigación</w:t>
            </w:r>
          </w:p>
        </w:tc>
      </w:tr>
      <w:tr>
        <w:trPr>
          <w:tblHeader w:val="false"/>
        </w:trPr>
        <w:tc>
          <w:tcPr>
            <w:tcW w:type="dxa" w:w="3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Resistencia al cambio en áreas operativas</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Alta</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Alto</w:t>
            </w:r>
          </w:p>
        </w:tc>
        <w:tc>
          <w:tcPr>
            <w:tcW w:type="dxa" w:w="38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Plan de gestión del cambio con sponsors gerenciales, capacitación temprana, comunicación de beneficios y embajadores por área.</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Catálogo maestro insuficiente al go-live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Alto</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Fase 0 dedicada a construcción del catálogo. Permitir SKU "ad-hoc" controlados con responsable de normalización.</w:t>
            </w:r>
          </w:p>
        </w:tc>
      </w:tr>
      <w:tr>
        <w:trPr>
          <w:tblHeader w:val="false"/>
        </w:trPr>
        <w:tc>
          <w:tcPr>
            <w:tcW w:type="dxa" w:w="3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Integración con ERP Softland más compleja de lo previsto</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Media</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Alto</w:t>
            </w:r>
          </w:p>
        </w:tc>
        <w:tc>
          <w:tcPr>
            <w:tcW w:type="dxa" w:w="38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Prueba de concepto en F0. Si bloquea, F1 puede operar con exportación manual a ERP y posterior automatización.</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Acceso a buzón DTE / API SII restringido</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Medio</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Validar con TI y representante SII en F0. Plan B: lectura de correo del buzón DTE.</w:t>
            </w:r>
          </w:p>
        </w:tc>
      </w:tr>
      <w:tr>
        <w:trPr>
          <w:tblHeader w:val="false"/>
        </w:trPr>
        <w:tc>
          <w:tcPr>
            <w:tcW w:type="dxa" w:w="3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Uso paralelo de canales informales post go-live</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Alta</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Alto</w:t>
            </w:r>
          </w:p>
        </w:tc>
        <w:tc>
          <w:tcPr>
            <w:tcW w:type="dxa" w:w="38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Política gerencial explícita: "no se procesan compras fuera del SGP". Bloqueo de pagos sin OC en sistema.</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Reglas de aprobación incompletas o cambiantes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Alto</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Matrices configurables por Administrador del Workflow. F0 dedicada a levantamiento exhaustivo.</w:t>
            </w:r>
          </w:p>
        </w:tc>
      </w:tr>
      <w:tr>
        <w:trPr>
          <w:tblHeader w:val="false"/>
        </w:trPr>
        <w:tc>
          <w:tcPr>
            <w:tcW w:type="dxa" w:w="3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Pérdida de datos en migración</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Baja</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Alto</w:t>
            </w:r>
          </w:p>
        </w:tc>
        <w:tc>
          <w:tcPr>
            <w:tcW w:type="dxa" w:w="38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Arranque en limpio (sin migración histórica). Datos previos en archivo de consulta.</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Dependencia de un único proveedor de software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Medio</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Especificación de API REST estándar. Documentación técnica completa. Código fuente o escrow si aplica.</w:t>
            </w:r>
          </w:p>
        </w:tc>
      </w:tr>
      <w:tr>
        <w:trPr>
          <w:tblHeader w:val="false"/>
        </w:trPr>
        <w:tc>
          <w:tcPr>
            <w:tcW w:type="dxa" w:w="3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Sobrecarga del Administrador del Workflow</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Media</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Medio</w:t>
            </w:r>
          </w:p>
        </w:tc>
        <w:tc>
          <w:tcPr>
            <w:tcW w:type="dxa" w:w="38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Definir respaldo y rotación. Documentar todos los procesos de configuración.</w:t>
            </w:r>
          </w:p>
        </w:tc>
      </w:tr>
    </w:tbl>
    <w:p>
      <w:pPr>
        <w:pStyle w:val="Heading1"/>
        <w:pageBreakBefore/>
        <w:spacing w:after="200" w:before="360"/>
      </w:pPr>
      <w:r>
        <w:rPr>
          <w:rFonts w:ascii="Arial" w:cs="Arial" w:eastAsia="Arial" w:hAnsi="Arial"/>
          <w:b/>
          <w:bCs/>
          <w:color w:val="1F4E79"/>
          <w:sz w:val="32"/>
          <w:szCs w:val="32"/>
        </w:rPr>
        <w:t xml:space="preserve">17. Supuestos y Restricciones</w:t>
      </w:r>
    </w:p>
    <w:p>
      <w:pPr>
        <w:pStyle w:val="Heading2"/>
        <w:spacing w:after="120" w:before="240"/>
      </w:pPr>
      <w:r>
        <w:rPr>
          <w:rFonts w:ascii="Arial" w:cs="Arial" w:eastAsia="Arial" w:hAnsi="Arial"/>
          <w:b/>
          <w:bCs/>
          <w:color w:val="1F4E79"/>
          <w:sz w:val="26"/>
          <w:szCs w:val="26"/>
        </w:rPr>
        <w:t xml:space="preserve">17.1 Supuestos</w:t>
      </w:r>
    </w:p>
    <w:p>
      <w:pPr>
        <w:pStyle w:val="ListParagraph"/>
        <w:numPr>
          <w:ilvl w:val="0"/>
          <w:numId w:val="2"/>
        </w:numPr>
        <w:spacing w:after="40" w:before="40"/>
      </w:pPr>
      <w:r>
        <w:rPr>
          <w:rFonts w:ascii="Arial" w:cs="Arial" w:eastAsia="Arial" w:hAnsi="Arial"/>
          <w:sz w:val="22"/>
          <w:szCs w:val="22"/>
        </w:rPr>
        <w:t xml:space="preserve">Existe voluntad gerencial explícita para formalizar el proceso de compras y respaldar la política de canal único.</w:t>
      </w:r>
    </w:p>
    <w:p>
      <w:pPr>
        <w:pStyle w:val="ListParagraph"/>
        <w:numPr>
          <w:ilvl w:val="0"/>
          <w:numId w:val="2"/>
        </w:numPr>
        <w:spacing w:after="40" w:before="40"/>
      </w:pPr>
      <w:r>
        <w:rPr>
          <w:rFonts w:ascii="Arial" w:cs="Arial" w:eastAsia="Arial" w:hAnsi="Arial"/>
          <w:sz w:val="22"/>
          <w:szCs w:val="22"/>
        </w:rPr>
        <w:t xml:space="preserve">La estructura organizacional, centros de costo y empresas del grupo están definidos y son estables.</w:t>
      </w:r>
    </w:p>
    <w:p>
      <w:pPr>
        <w:pStyle w:val="ListParagraph"/>
        <w:numPr>
          <w:ilvl w:val="0"/>
          <w:numId w:val="2"/>
        </w:numPr>
        <w:spacing w:after="40" w:before="40"/>
      </w:pPr>
      <w:r>
        <w:rPr>
          <w:rFonts w:ascii="Arial" w:cs="Arial" w:eastAsia="Arial" w:hAnsi="Arial"/>
          <w:sz w:val="22"/>
          <w:szCs w:val="22"/>
        </w:rPr>
        <w:t xml:space="preserve">Se dispone de presupuesto asignado por centro de costo al menos a nivel anual.</w:t>
      </w:r>
    </w:p>
    <w:p>
      <w:pPr>
        <w:pStyle w:val="ListParagraph"/>
        <w:numPr>
          <w:ilvl w:val="0"/>
          <w:numId w:val="2"/>
        </w:numPr>
        <w:spacing w:after="40" w:before="40"/>
      </w:pPr>
      <w:r>
        <w:rPr>
          <w:rFonts w:ascii="Arial" w:cs="Arial" w:eastAsia="Arial" w:hAnsi="Arial"/>
          <w:sz w:val="22"/>
          <w:szCs w:val="22"/>
        </w:rPr>
        <w:t xml:space="preserve">Los usuarios tienen acceso a dispositivos con conexión a internet (móvil o desktop).</w:t>
      </w:r>
    </w:p>
    <w:p>
      <w:pPr>
        <w:pStyle w:val="ListParagraph"/>
        <w:numPr>
          <w:ilvl w:val="0"/>
          <w:numId w:val="2"/>
        </w:numPr>
        <w:spacing w:after="40" w:before="40"/>
      </w:pPr>
      <w:r>
        <w:rPr>
          <w:rFonts w:ascii="Arial" w:cs="Arial" w:eastAsia="Arial" w:hAnsi="Arial"/>
          <w:sz w:val="22"/>
          <w:szCs w:val="22"/>
        </w:rPr>
        <w:t xml:space="preserve">Existe acceso técnico al ERP Softland mediante API o procedimiento equivalente.</w:t>
      </w:r>
    </w:p>
    <w:p>
      <w:pPr>
        <w:pStyle w:val="ListParagraph"/>
        <w:numPr>
          <w:ilvl w:val="0"/>
          <w:numId w:val="2"/>
        </w:numPr>
        <w:spacing w:after="40" w:before="40"/>
      </w:pPr>
      <w:r>
        <w:rPr>
          <w:rFonts w:ascii="Arial" w:cs="Arial" w:eastAsia="Arial" w:hAnsi="Arial"/>
          <w:sz w:val="22"/>
          <w:szCs w:val="22"/>
        </w:rPr>
        <w:t xml:space="preserve">Es factible obtener acceso al buzón DTE o a la API del SII para integración.</w:t>
      </w:r>
    </w:p>
    <w:p>
      <w:pPr>
        <w:pStyle w:val="ListParagraph"/>
        <w:numPr>
          <w:ilvl w:val="0"/>
          <w:numId w:val="2"/>
        </w:numPr>
        <w:spacing w:after="40" w:before="40"/>
      </w:pPr>
      <w:r>
        <w:rPr>
          <w:rFonts w:ascii="Arial" w:cs="Arial" w:eastAsia="Arial" w:hAnsi="Arial"/>
          <w:sz w:val="22"/>
          <w:szCs w:val="22"/>
        </w:rPr>
        <w:t xml:space="preserve">Se designará un Product Owner interno (Excelencia Operacional) para validar entregables iterativamente.</w:t>
      </w:r>
    </w:p>
    <w:p>
      <w:pPr>
        <w:pStyle w:val="Heading2"/>
        <w:spacing w:after="120" w:before="240"/>
      </w:pPr>
      <w:r>
        <w:rPr>
          <w:rFonts w:ascii="Arial" w:cs="Arial" w:eastAsia="Arial" w:hAnsi="Arial"/>
          <w:b/>
          <w:bCs/>
          <w:color w:val="1F4E79"/>
          <w:sz w:val="26"/>
          <w:szCs w:val="26"/>
        </w:rPr>
        <w:t xml:space="preserve">17.2 Restricciones</w:t>
      </w:r>
    </w:p>
    <w:p>
      <w:pPr>
        <w:pStyle w:val="ListParagraph"/>
        <w:numPr>
          <w:ilvl w:val="0"/>
          <w:numId w:val="2"/>
        </w:numPr>
        <w:spacing w:after="40" w:before="40"/>
      </w:pPr>
      <w:r>
        <w:rPr>
          <w:rFonts w:ascii="Arial" w:cs="Arial" w:eastAsia="Arial" w:hAnsi="Arial"/>
          <w:sz w:val="22"/>
          <w:szCs w:val="22"/>
        </w:rPr>
        <w:t xml:space="preserve">La solución debe operar en infraestructura cloud (no on-premise).</w:t>
      </w:r>
    </w:p>
    <w:p>
      <w:pPr>
        <w:pStyle w:val="ListParagraph"/>
        <w:numPr>
          <w:ilvl w:val="0"/>
          <w:numId w:val="2"/>
        </w:numPr>
        <w:spacing w:after="40" w:before="40"/>
      </w:pPr>
      <w:r>
        <w:rPr>
          <w:rFonts w:ascii="Arial" w:cs="Arial" w:eastAsia="Arial" w:hAnsi="Arial"/>
          <w:sz w:val="22"/>
          <w:szCs w:val="22"/>
        </w:rPr>
        <w:t xml:space="preserve">Compatible con navegadores estándar: Chrome, Edge, Safari (últimas dos versiones mayores).</w:t>
      </w:r>
    </w:p>
    <w:p>
      <w:pPr>
        <w:pStyle w:val="ListParagraph"/>
        <w:numPr>
          <w:ilvl w:val="0"/>
          <w:numId w:val="2"/>
        </w:numPr>
        <w:spacing w:after="40" w:before="40"/>
      </w:pPr>
      <w:r>
        <w:rPr>
          <w:rFonts w:ascii="Arial" w:cs="Arial" w:eastAsia="Arial" w:hAnsi="Arial"/>
          <w:sz w:val="22"/>
          <w:szCs w:val="22"/>
        </w:rPr>
        <w:t xml:space="preserve">La integración con ERP no debe modificar el ERP en F1; F2 puede requerir desarrollo conjunto.</w:t>
      </w:r>
    </w:p>
    <w:p>
      <w:pPr>
        <w:pStyle w:val="ListParagraph"/>
        <w:numPr>
          <w:ilvl w:val="0"/>
          <w:numId w:val="2"/>
        </w:numPr>
        <w:spacing w:after="40" w:before="40"/>
      </w:pPr>
      <w:r>
        <w:rPr>
          <w:rFonts w:ascii="Arial" w:cs="Arial" w:eastAsia="Arial" w:hAnsi="Arial"/>
          <w:sz w:val="22"/>
          <w:szCs w:val="22"/>
        </w:rPr>
        <w:t xml:space="preserve">Cumplimiento normativo: Ley 19.628 (datos personales) y normativa tributaria SII.</w:t>
      </w:r>
    </w:p>
    <w:p>
      <w:pPr>
        <w:pStyle w:val="ListParagraph"/>
        <w:numPr>
          <w:ilvl w:val="0"/>
          <w:numId w:val="2"/>
        </w:numPr>
        <w:spacing w:after="40" w:before="40"/>
      </w:pPr>
      <w:r>
        <w:rPr>
          <w:rFonts w:ascii="Arial" w:cs="Arial" w:eastAsia="Arial" w:hAnsi="Arial"/>
          <w:sz w:val="22"/>
          <w:szCs w:val="22"/>
        </w:rPr>
        <w:t xml:space="preserve">El presupuesto de implementación se define post-aprobación gerencial de este PRD.</w:t>
      </w:r>
    </w:p>
    <w:p>
      <w:pPr>
        <w:pStyle w:val="ListParagraph"/>
        <w:numPr>
          <w:ilvl w:val="0"/>
          <w:numId w:val="2"/>
        </w:numPr>
        <w:spacing w:after="40" w:before="40"/>
      </w:pPr>
      <w:r>
        <w:rPr>
          <w:rFonts w:ascii="Arial" w:cs="Arial" w:eastAsia="Arial" w:hAnsi="Arial"/>
          <w:sz w:val="22"/>
          <w:szCs w:val="22"/>
        </w:rPr>
        <w:t xml:space="preserve">La especificación técnica de detalle se desarrolla en documentos derivados (data model, API specs).</w:t>
      </w:r>
    </w:p>
    <w:p>
      <w:pPr>
        <w:pStyle w:val="Heading1"/>
        <w:pageBreakBefore/>
        <w:spacing w:after="200" w:before="360"/>
      </w:pPr>
      <w:r>
        <w:rPr>
          <w:rFonts w:ascii="Arial" w:cs="Arial" w:eastAsia="Arial" w:hAnsi="Arial"/>
          <w:b/>
          <w:bCs/>
          <w:color w:val="1F4E79"/>
          <w:sz w:val="32"/>
          <w:szCs w:val="32"/>
        </w:rPr>
        <w:t xml:space="preserve">18. Aprobación del Documento</w:t>
      </w:r>
    </w:p>
    <w:p>
      <w:pPr>
        <w:spacing w:after="80" w:before="80"/>
        <w:jc w:val="both"/>
      </w:pPr>
      <w:r>
        <w:rPr>
          <w:rFonts w:ascii="Arial" w:cs="Arial" w:eastAsia="Arial" w:hAnsi="Arial"/>
          <w:b w:val="false"/>
          <w:bCs w:val="false"/>
          <w:i w:val="false"/>
          <w:iCs w:val="false"/>
          <w:color w:val="000000"/>
          <w:sz w:val="22"/>
          <w:szCs w:val="22"/>
        </w:rPr>
        <w:t xml:space="preserve">Este documento requiere la revisión y aprobación formal de los siguientes stakeholders antes de proceder con la ejecución del proyecto. La aprobación implica acuerdo sobre el alcance, los objetivos y el roadmap propuestos.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2400"/>
        <w:gridCol w:w="1680"/>
      </w:tblGrid>
      <w:tr>
        <w:trPr>
          <w:tblHeader/>
        </w:trPr>
        <w:tc>
          <w:tcPr>
            <w:tcW w:type="dxa" w:w="2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Rol</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Nombre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Firma</w:t>
            </w:r>
          </w:p>
        </w:tc>
        <w:tc>
          <w:tcPr>
            <w:tcW w:type="dxa" w:w="1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20" w:before="20"/>
              <w:jc w:val="center"/>
            </w:pPr>
            <w:r>
              <w:rPr>
                <w:rFonts w:ascii="Arial" w:cs="Arial" w:eastAsia="Arial" w:hAnsi="Arial"/>
                <w:b/>
                <w:bCs/>
                <w:color w:val="FFFFFF"/>
                <w:sz w:val="20"/>
                <w:szCs w:val="20"/>
              </w:rPr>
              <w:t xml:space="preserve">Fecha</w:t>
            </w:r>
          </w:p>
        </w:tc>
      </w:tr>
      <w:tr>
        <w:trPr>
          <w:tblHeader w:val="false"/>
        </w:trPr>
        <w:tc>
          <w:tcPr>
            <w:tcW w:type="dxa" w:w="28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Gerente General</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1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r>
      <w:tr>
        <w:trPr>
          <w:tblHeader w:val="false"/>
        </w:trPr>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Gerente de Finanzas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r>
      <w:tr>
        <w:trPr>
          <w:tblHeader w:val="false"/>
        </w:trPr>
        <w:tc>
          <w:tcPr>
            <w:tcW w:type="dxa" w:w="28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Gerente de Operaciones</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1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r>
      <w:tr>
        <w:trPr>
          <w:tblHeader w:val="false"/>
        </w:trPr>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Abastecimiento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r>
      <w:tr>
        <w:trPr>
          <w:tblHeader w:val="false"/>
        </w:trPr>
        <w:tc>
          <w:tcPr>
            <w:tcW w:type="dxa" w:w="28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Jefe de Mantenimiento</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168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r>
      <w:tr>
        <w:trPr>
          <w:tblHeader w:val="false"/>
        </w:trPr>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Excelencia Operacional (Autor)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Victor Cortés-Monroy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jc w:val="left"/>
            </w:pPr>
            <w:r>
              <w:rPr>
                <w:rFonts w:ascii="Arial" w:cs="Arial" w:eastAsia="Arial" w:hAnsi="Arial"/>
                <w:b w:val="false"/>
                <w:bCs w:val="false"/>
                <w:color w:val="000000"/>
                <w:sz w:val="20"/>
                <w:szCs w:val="20"/>
              </w:rPr>
              <w:t xml:space="preserve"/>
            </w:r>
          </w:p>
        </w:tc>
      </w:tr>
    </w:tbl>
    <w:p>
      <w:pPr>
        <w:spacing w:after="180" w:before="180"/>
      </w:pPr>
      <w:r>
        <w:t xml:space="preserve"/>
      </w:r>
    </w:p>
    <w:p>
      <w:pPr>
        <w:spacing w:after="0" w:before="480"/>
        <w:jc w:val="center"/>
      </w:pPr>
      <w:r>
        <w:rPr>
          <w:rFonts w:ascii="Arial" w:cs="Arial" w:eastAsia="Arial" w:hAnsi="Arial"/>
          <w:i/>
          <w:iCs/>
          <w:color w:val="2E75B6"/>
          <w:sz w:val="22"/>
          <w:szCs w:val="22"/>
        </w:rPr>
        <w:t xml:space="preserve">— Fin del Documento —</w:t>
      </w:r>
    </w:p>
    <w:p>
      <w:pPr>
        <w:spacing w:after="0" w:before="60"/>
        <w:jc w:val="center"/>
      </w:pPr>
      <w:r>
        <w:rPr>
          <w:rFonts w:ascii="Arial" w:cs="Arial" w:eastAsia="Arial" w:hAnsi="Arial"/>
          <w:i/>
          <w:iCs/>
          <w:color w:val="2E75B6"/>
          <w:sz w:val="18"/>
          <w:szCs w:val="18"/>
        </w:rPr>
        <w:t xml:space="preserve">PRD Sistema de Gestión de Compras (SGP) v2.0 — Marzo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75B6"/>
        <w:sz w:val="18"/>
        <w:szCs w:val="18"/>
      </w:rPr>
      <w:t xml:space="preserve">Confidencial — Uso Interno  |  Página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2E75B6"/>
        <w:sz w:val="18"/>
        <w:szCs w:val="18"/>
      </w:rPr>
      <w:t xml:space="preserve"> de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2E75B6"/>
        <w:sz w:val="18"/>
        <w:szCs w:val="18"/>
      </w:rPr>
      <w:t xml:space="preserve">PRD Sistema de Gestión de Compras (SGP)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Sistema de Gestión de Compras v2.0</dc:title>
  <dc:creator>Victor Cortés-Monroy — Excelencia Operacional</dc:creator>
  <dc:description>Documento de Requerimientos de Producto del Sistema de Gestión de Compras</dc:description>
  <cp:lastModifiedBy>Un-named</cp:lastModifiedBy>
  <cp:revision>1</cp:revision>
  <dcterms:created xsi:type="dcterms:W3CDTF">2026-04-27T03:59:22.802Z</dcterms:created>
  <dcterms:modified xsi:type="dcterms:W3CDTF">2026-04-27T03:59:22.846Z</dcterms:modified>
</cp:coreProperties>
</file>

<file path=docProps/custom.xml><?xml version="1.0" encoding="utf-8"?>
<Properties xmlns="http://schemas.openxmlformats.org/officeDocument/2006/custom-properties" xmlns:vt="http://schemas.openxmlformats.org/officeDocument/2006/docPropsVTypes"/>
</file>