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18.1812727272727" w:lineRule="auto"/>
        <w:jc w:val="center"/>
        <w:rPr>
          <w:rFonts w:ascii="Times New Roman" w:cs="Times New Roman" w:eastAsia="Times New Roman" w:hAnsi="Times New Roman"/>
          <w:b w:val="1"/>
          <w:i w:val="1"/>
          <w:color w:val="3c78d8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1155cc"/>
          <w:sz w:val="30"/>
          <w:szCs w:val="30"/>
          <w:u w:val="single"/>
          <w:rtl w:val="0"/>
        </w:rPr>
        <w:t xml:space="preserve">DESCRIÇÃO DE CARGO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218.1812727272727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155cc"/>
          <w:sz w:val="28"/>
          <w:szCs w:val="28"/>
          <w:rtl w:val="0"/>
        </w:rPr>
        <w:t xml:space="preserve">Título do Cargo: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ab/>
        <w:tab/>
        <w:tab/>
        <w:tab/>
        <w:tab/>
        <w:t xml:space="preserve">    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55cc"/>
          <w:sz w:val="28"/>
          <w:szCs w:val="28"/>
          <w:rtl w:val="0"/>
        </w:rPr>
        <w:t xml:space="preserve">CBO: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DESENVOLVEDOR SISTEMAS SR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155cc"/>
          <w:sz w:val="28"/>
          <w:szCs w:val="28"/>
          <w:rtl w:val="0"/>
        </w:rPr>
        <w:t xml:space="preserve">          </w:t>
        <w:tab/>
        <w:t xml:space="preserve">       </w:t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3171-10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  <w:br w:type="textWrapping"/>
      </w:r>
    </w:p>
    <w:tbl>
      <w:tblPr>
        <w:tblStyle w:val="Table1"/>
        <w:tblW w:w="912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3300"/>
        <w:gridCol w:w="2970"/>
        <w:tblGridChange w:id="0">
          <w:tblGrid>
            <w:gridCol w:w="2850"/>
            <w:gridCol w:w="3300"/>
            <w:gridCol w:w="29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Diretoria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Tecnologia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Desenvolvimento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Tecnologia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Desenvolvimento IXC Oner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Tecnologia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Desenvolvimento Opa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Inovação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Desenvolvimento Redes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Tecnologia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Operações e inteligência de negócios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 Sumária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before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responsável por liderar projetos críticos de alta complexidade, definindo a arquitetura do software e atuando como referência técnica para a empresa. Possui habilidade técnica avançada e capacidade de definir as melhores estratégias de arquitetura, contribuindo decisivamente para a evolução do time técnico. Atua em projetos estratégicos da empresa, liderando times e desenvolvendo soluções escaláveis com foco em alta performance e manutenibilidade. É responsável por criar soluções inovadoras e complexas, mentorando desenvolvedores e atuando como referência técnica em decisões estratégicas da empresa.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 Detalhada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Liderança técnica em projetos críticos de alta complexidade, garantindo a excelência na implementação e entrega.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Definição e implementação de arquiteturas de sistemas e soluções escaláveis, com foco em performance e inovação.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Atuação estratégica na análise e definição de requisitos para projetos críticos da empresa.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Implementação e disseminação das melhores práticas em refatoração de código legado.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Mentoria técnica para desenvolvedores, promovendo o crescimento da equipe.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Definição e implementação de arquiteturas baseadas em Microsserviços e práticas avançadas de DevOps.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e manutenção de pipelines de CI/CD, sistemas de monitoramento e estratégias de escala.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Liderança em decisões técnicas estratégicas e definição de padrões de desenvolvimento.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soluções inovadoras com foco em alta performance e escalabilidade.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Contribuição ativa para a evolução tecnológica da empresa através de pesquisa e inovação.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Atuação como referência técnica em projetos estratégicos e decisões arquiteturais críticas.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Implementação de práticas avançadas de segurança e otimização de performance;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right w:color="auto" w:space="0" w:sz="0" w:val="none"/>
          <w:between w:color="auto" w:space="2" w:sz="0" w:val="none"/>
        </w:pBd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Executar outras atividades correlatas ao cargo.</w:t>
      </w:r>
    </w:p>
    <w:p w:rsidR="00000000" w:rsidDel="00000000" w:rsidP="00000000" w:rsidRDefault="00000000" w:rsidRPr="00000000" w14:paraId="00000029">
      <w:pPr>
        <w:spacing w:before="2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2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Especificação de Cargo</w:t>
            </w:r>
          </w:p>
        </w:tc>
      </w:tr>
    </w:tbl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Instrução/Escolaridade: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Mínima: Graduação completa em Ciência da Computação, Engenharia de Software ou áreas correlatas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Desejável: Pós-graduação, mestrado ou certificações avançadas na área de tecnologia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Experiência: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Mínima:  6 anos de experiência em desenvolvimento de software, incluindo liderança técnica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Desejável: 7+ anos de experiência com participação em projetos estratégicos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Conhecimentos/Habilidades Técnicas: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Proficiência em programação, algoritmos e estruturas de dados avançadas;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Domínio completo em otimização de código e performance;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Domínio em design patterns, arquitetura de software e modularização.;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Conhecimento avançado em práticas DevOps e CI/CD;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Domínio de técnicas avançadas de segurança de aplicações;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Domínio em arquiteturas distribuídas e escaláveis;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Domínio de práticas avançadas de monitoramento e observabilidade;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Domínio em bancos de dados e otimização.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Habilidades Comportamentais: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Liderança técnica estratégica;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Comunicação executiva;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Capacidade de mentoria avançada;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sistêmica e estratégica;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Resolução de problemas complexos;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Tomada de decisão em cenários críticos;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Gestão de equipes técnicas;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Inovação e pensamento crítico.</w:t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Aprovação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Aprovação final com a validação das diretorias informada pelos gestores Wagner Frana, André Vilani no dia 31/01/2025 e Gustavo Bavaresco e Diego Turazzi no dia 03/02/2025.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0000ff"/>
        <w:rtl w:val="0"/>
      </w:rPr>
      <w:t xml:space="preserve">Revisado em: 11/03/2025</w:t>
    </w:r>
    <w:r w:rsidDel="00000000" w:rsidR="00000000" w:rsidRPr="00000000">
      <w:rPr>
        <w:rtl w:val="0"/>
      </w:rPr>
      <w:br w:type="textWrapping"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-95249</wp:posOffset>
          </wp:positionV>
          <wp:extent cx="1117992" cy="557139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7992" cy="5571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