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0A672F5A" w14:textId="77777777" w:rsidR="000F0904" w:rsidRDefault="000F0904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0F0904">
        <w:rPr>
          <w:bCs w:val="0"/>
          <w:color w:val="auto"/>
          <w:sz w:val="28"/>
          <w:szCs w:val="28"/>
        </w:rPr>
        <w:t>Módulo de Adquisiciones</w:t>
      </w:r>
    </w:p>
    <w:p w14:paraId="296D93AE" w14:textId="023B5E19" w:rsidR="00490541" w:rsidRDefault="000F0904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8D68E1" w:rsidRPr="008D68E1">
        <w:rPr>
          <w:rFonts w:ascii="Calibri" w:hAnsi="Calibri" w:cs="Calibri"/>
          <w:color w:val="222222"/>
          <w:shd w:val="clear" w:color="auto" w:fill="FFFFFF"/>
        </w:rPr>
        <w:t>Configuración de</w:t>
      </w:r>
      <w:r w:rsidR="009304F9">
        <w:rPr>
          <w:rFonts w:ascii="Calibri" w:hAnsi="Calibri" w:cs="Calibri"/>
          <w:color w:val="222222"/>
          <w:shd w:val="clear" w:color="auto" w:fill="FFFFFF"/>
        </w:rPr>
        <w:t xml:space="preserve"> adquisiciones</w:t>
      </w:r>
      <w:r w:rsidR="008D68E1">
        <w:rPr>
          <w:rFonts w:ascii="Calibri" w:hAnsi="Calibri" w:cs="Calibri"/>
          <w:color w:val="222222"/>
          <w:shd w:val="clear" w:color="auto" w:fill="FFFFFF"/>
        </w:rPr>
        <w:t>.</w:t>
      </w:r>
      <w:r w:rsidR="009304F9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7D5A0B4" w14:textId="7616A9DE" w:rsidR="00722725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768895" w:history="1">
            <w:r w:rsidR="00722725" w:rsidRPr="006B5BA4">
              <w:rPr>
                <w:rStyle w:val="Hipervnculo"/>
                <w:rFonts w:cs="Arial"/>
                <w:noProof/>
              </w:rPr>
              <w:t>1.</w:t>
            </w:r>
            <w:r w:rsidR="007227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722725" w:rsidRPr="006B5BA4">
              <w:rPr>
                <w:rStyle w:val="Hipervnculo"/>
                <w:rFonts w:cs="Arial"/>
                <w:noProof/>
              </w:rPr>
              <w:t xml:space="preserve">Caso de Uso: Configuración de </w:t>
            </w:r>
            <w:r w:rsidR="00722725" w:rsidRPr="006B5BA4">
              <w:rPr>
                <w:rStyle w:val="Hipervnculo"/>
                <w:rFonts w:cs="Arial"/>
                <w:noProof/>
                <w:shd w:val="clear" w:color="auto" w:fill="FFFFFF"/>
              </w:rPr>
              <w:t>Adquisiciones</w:t>
            </w:r>
            <w:r w:rsidR="00722725" w:rsidRPr="006B5BA4">
              <w:rPr>
                <w:rStyle w:val="Hipervnculo"/>
                <w:rFonts w:cs="Arial"/>
                <w:noProof/>
              </w:rPr>
              <w:t>.</w:t>
            </w:r>
            <w:r w:rsidR="00722725">
              <w:rPr>
                <w:noProof/>
                <w:webHidden/>
              </w:rPr>
              <w:tab/>
            </w:r>
            <w:r w:rsidR="00722725">
              <w:rPr>
                <w:noProof/>
                <w:webHidden/>
              </w:rPr>
              <w:fldChar w:fldCharType="begin"/>
            </w:r>
            <w:r w:rsidR="00722725">
              <w:rPr>
                <w:noProof/>
                <w:webHidden/>
              </w:rPr>
              <w:instrText xml:space="preserve"> PAGEREF _Toc83768895 \h </w:instrText>
            </w:r>
            <w:r w:rsidR="00722725">
              <w:rPr>
                <w:noProof/>
                <w:webHidden/>
              </w:rPr>
            </w:r>
            <w:r w:rsidR="00722725">
              <w:rPr>
                <w:noProof/>
                <w:webHidden/>
              </w:rPr>
              <w:fldChar w:fldCharType="separate"/>
            </w:r>
            <w:r w:rsidR="00722725">
              <w:rPr>
                <w:noProof/>
                <w:webHidden/>
              </w:rPr>
              <w:t>3</w:t>
            </w:r>
            <w:r w:rsidR="00722725">
              <w:rPr>
                <w:noProof/>
                <w:webHidden/>
              </w:rPr>
              <w:fldChar w:fldCharType="end"/>
            </w:r>
          </w:hyperlink>
        </w:p>
        <w:p w14:paraId="098313FA" w14:textId="6DC90481" w:rsidR="00722725" w:rsidRDefault="00383A7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96" w:history="1">
            <w:r w:rsidR="00722725" w:rsidRPr="006B5BA4">
              <w:rPr>
                <w:rStyle w:val="Hipervnculo"/>
                <w:rFonts w:cs="Arial"/>
                <w:noProof/>
              </w:rPr>
              <w:t>2.</w:t>
            </w:r>
            <w:r w:rsidR="007227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722725" w:rsidRPr="006B5BA4">
              <w:rPr>
                <w:rStyle w:val="Hipervnculo"/>
                <w:rFonts w:cs="Arial"/>
                <w:noProof/>
              </w:rPr>
              <w:t>Descripción.</w:t>
            </w:r>
            <w:r w:rsidR="00722725">
              <w:rPr>
                <w:noProof/>
                <w:webHidden/>
              </w:rPr>
              <w:tab/>
            </w:r>
            <w:r w:rsidR="00722725">
              <w:rPr>
                <w:noProof/>
                <w:webHidden/>
              </w:rPr>
              <w:fldChar w:fldCharType="begin"/>
            </w:r>
            <w:r w:rsidR="00722725">
              <w:rPr>
                <w:noProof/>
                <w:webHidden/>
              </w:rPr>
              <w:instrText xml:space="preserve"> PAGEREF _Toc83768896 \h </w:instrText>
            </w:r>
            <w:r w:rsidR="00722725">
              <w:rPr>
                <w:noProof/>
                <w:webHidden/>
              </w:rPr>
            </w:r>
            <w:r w:rsidR="00722725">
              <w:rPr>
                <w:noProof/>
                <w:webHidden/>
              </w:rPr>
              <w:fldChar w:fldCharType="separate"/>
            </w:r>
            <w:r w:rsidR="00722725">
              <w:rPr>
                <w:noProof/>
                <w:webHidden/>
              </w:rPr>
              <w:t>3</w:t>
            </w:r>
            <w:r w:rsidR="00722725">
              <w:rPr>
                <w:noProof/>
                <w:webHidden/>
              </w:rPr>
              <w:fldChar w:fldCharType="end"/>
            </w:r>
          </w:hyperlink>
        </w:p>
        <w:p w14:paraId="04A21798" w14:textId="0A5B8D25" w:rsidR="00722725" w:rsidRDefault="00383A7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97" w:history="1">
            <w:r w:rsidR="00722725" w:rsidRPr="006B5BA4">
              <w:rPr>
                <w:rStyle w:val="Hipervnculo"/>
                <w:rFonts w:cs="Arial"/>
                <w:b/>
                <w:noProof/>
              </w:rPr>
              <w:t>3.</w:t>
            </w:r>
            <w:r w:rsidR="007227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722725" w:rsidRPr="006B5BA4">
              <w:rPr>
                <w:rStyle w:val="Hipervnculo"/>
                <w:rFonts w:cs="Arial"/>
                <w:b/>
                <w:noProof/>
              </w:rPr>
              <w:t>Flujo normal.</w:t>
            </w:r>
            <w:r w:rsidR="00722725">
              <w:rPr>
                <w:noProof/>
                <w:webHidden/>
              </w:rPr>
              <w:tab/>
            </w:r>
            <w:r w:rsidR="00722725">
              <w:rPr>
                <w:noProof/>
                <w:webHidden/>
              </w:rPr>
              <w:fldChar w:fldCharType="begin"/>
            </w:r>
            <w:r w:rsidR="00722725">
              <w:rPr>
                <w:noProof/>
                <w:webHidden/>
              </w:rPr>
              <w:instrText xml:space="preserve"> PAGEREF _Toc83768897 \h </w:instrText>
            </w:r>
            <w:r w:rsidR="00722725">
              <w:rPr>
                <w:noProof/>
                <w:webHidden/>
              </w:rPr>
            </w:r>
            <w:r w:rsidR="00722725">
              <w:rPr>
                <w:noProof/>
                <w:webHidden/>
              </w:rPr>
              <w:fldChar w:fldCharType="separate"/>
            </w:r>
            <w:r w:rsidR="00722725">
              <w:rPr>
                <w:noProof/>
                <w:webHidden/>
              </w:rPr>
              <w:t>3</w:t>
            </w:r>
            <w:r w:rsidR="00722725">
              <w:rPr>
                <w:noProof/>
                <w:webHidden/>
              </w:rPr>
              <w:fldChar w:fldCharType="end"/>
            </w:r>
          </w:hyperlink>
        </w:p>
        <w:p w14:paraId="596FD76B" w14:textId="53F39316" w:rsidR="00722725" w:rsidRDefault="00383A7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98" w:history="1">
            <w:r w:rsidR="00722725" w:rsidRPr="006B5BA4">
              <w:rPr>
                <w:rStyle w:val="Hipervnculo"/>
                <w:rFonts w:cs="Arial"/>
                <w:b/>
                <w:noProof/>
              </w:rPr>
              <w:t>4.</w:t>
            </w:r>
            <w:r w:rsidR="007227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722725" w:rsidRPr="006B5BA4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722725">
              <w:rPr>
                <w:noProof/>
                <w:webHidden/>
              </w:rPr>
              <w:tab/>
            </w:r>
            <w:r w:rsidR="00722725">
              <w:rPr>
                <w:noProof/>
                <w:webHidden/>
              </w:rPr>
              <w:fldChar w:fldCharType="begin"/>
            </w:r>
            <w:r w:rsidR="00722725">
              <w:rPr>
                <w:noProof/>
                <w:webHidden/>
              </w:rPr>
              <w:instrText xml:space="preserve"> PAGEREF _Toc83768898 \h </w:instrText>
            </w:r>
            <w:r w:rsidR="00722725">
              <w:rPr>
                <w:noProof/>
                <w:webHidden/>
              </w:rPr>
            </w:r>
            <w:r w:rsidR="00722725">
              <w:rPr>
                <w:noProof/>
                <w:webHidden/>
              </w:rPr>
              <w:fldChar w:fldCharType="separate"/>
            </w:r>
            <w:r w:rsidR="00722725">
              <w:rPr>
                <w:noProof/>
                <w:webHidden/>
              </w:rPr>
              <w:t>5</w:t>
            </w:r>
            <w:r w:rsidR="00722725">
              <w:rPr>
                <w:noProof/>
                <w:webHidden/>
              </w:rPr>
              <w:fldChar w:fldCharType="end"/>
            </w:r>
          </w:hyperlink>
        </w:p>
        <w:p w14:paraId="32A7FC5D" w14:textId="09D4E728" w:rsidR="00722725" w:rsidRDefault="00383A7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99" w:history="1">
            <w:r w:rsidR="00722725" w:rsidRPr="006B5BA4">
              <w:rPr>
                <w:rStyle w:val="Hipervnculo"/>
                <w:rFonts w:cs="Arial"/>
                <w:b/>
                <w:noProof/>
              </w:rPr>
              <w:t>5.</w:t>
            </w:r>
            <w:r w:rsidR="007227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722725" w:rsidRPr="006B5BA4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722725">
              <w:rPr>
                <w:noProof/>
                <w:webHidden/>
              </w:rPr>
              <w:tab/>
            </w:r>
            <w:r w:rsidR="00722725">
              <w:rPr>
                <w:noProof/>
                <w:webHidden/>
              </w:rPr>
              <w:fldChar w:fldCharType="begin"/>
            </w:r>
            <w:r w:rsidR="00722725">
              <w:rPr>
                <w:noProof/>
                <w:webHidden/>
              </w:rPr>
              <w:instrText xml:space="preserve"> PAGEREF _Toc83768899 \h </w:instrText>
            </w:r>
            <w:r w:rsidR="00722725">
              <w:rPr>
                <w:noProof/>
                <w:webHidden/>
              </w:rPr>
            </w:r>
            <w:r w:rsidR="00722725">
              <w:rPr>
                <w:noProof/>
                <w:webHidden/>
              </w:rPr>
              <w:fldChar w:fldCharType="separate"/>
            </w:r>
            <w:r w:rsidR="00722725">
              <w:rPr>
                <w:noProof/>
                <w:webHidden/>
              </w:rPr>
              <w:t>6</w:t>
            </w:r>
            <w:r w:rsidR="00722725">
              <w:rPr>
                <w:noProof/>
                <w:webHidden/>
              </w:rPr>
              <w:fldChar w:fldCharType="end"/>
            </w:r>
          </w:hyperlink>
        </w:p>
        <w:p w14:paraId="7189431D" w14:textId="7C33ADCF" w:rsidR="00722725" w:rsidRDefault="00383A7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900" w:history="1">
            <w:r w:rsidR="00722725" w:rsidRPr="006B5BA4">
              <w:rPr>
                <w:rStyle w:val="Hipervnculo"/>
                <w:rFonts w:cs="Arial"/>
                <w:b/>
                <w:noProof/>
              </w:rPr>
              <w:t>6.</w:t>
            </w:r>
            <w:r w:rsidR="007227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722725" w:rsidRPr="006B5BA4">
              <w:rPr>
                <w:rStyle w:val="Hipervnculo"/>
                <w:rFonts w:cs="Arial"/>
                <w:b/>
                <w:noProof/>
              </w:rPr>
              <w:t>Anexos.</w:t>
            </w:r>
            <w:r w:rsidR="00722725">
              <w:rPr>
                <w:noProof/>
                <w:webHidden/>
              </w:rPr>
              <w:tab/>
            </w:r>
            <w:r w:rsidR="00722725">
              <w:rPr>
                <w:noProof/>
                <w:webHidden/>
              </w:rPr>
              <w:fldChar w:fldCharType="begin"/>
            </w:r>
            <w:r w:rsidR="00722725">
              <w:rPr>
                <w:noProof/>
                <w:webHidden/>
              </w:rPr>
              <w:instrText xml:space="preserve"> PAGEREF _Toc83768900 \h </w:instrText>
            </w:r>
            <w:r w:rsidR="00722725">
              <w:rPr>
                <w:noProof/>
                <w:webHidden/>
              </w:rPr>
            </w:r>
            <w:r w:rsidR="00722725">
              <w:rPr>
                <w:noProof/>
                <w:webHidden/>
              </w:rPr>
              <w:fldChar w:fldCharType="separate"/>
            </w:r>
            <w:r w:rsidR="00722725">
              <w:rPr>
                <w:noProof/>
                <w:webHidden/>
              </w:rPr>
              <w:t>7</w:t>
            </w:r>
            <w:r w:rsidR="00722725">
              <w:rPr>
                <w:noProof/>
                <w:webHidden/>
              </w:rPr>
              <w:fldChar w:fldCharType="end"/>
            </w:r>
          </w:hyperlink>
        </w:p>
        <w:p w14:paraId="02AB4D39" w14:textId="39E0ACBE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181BB6DA" w:rsidR="009B44E8" w:rsidRDefault="001F5E92" w:rsidP="008D68E1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768895"/>
      <w:r w:rsidRPr="001F5E92">
        <w:rPr>
          <w:rFonts w:cs="Arial"/>
        </w:rPr>
        <w:lastRenderedPageBreak/>
        <w:t xml:space="preserve">Caso de Uso: </w:t>
      </w:r>
      <w:r w:rsidR="008D68E1" w:rsidRPr="008D68E1">
        <w:rPr>
          <w:rFonts w:cs="Arial"/>
        </w:rPr>
        <w:t>Configuración de</w:t>
      </w:r>
      <w:r w:rsidR="009304F9">
        <w:rPr>
          <w:rFonts w:cs="Arial"/>
        </w:rPr>
        <w:t xml:space="preserve"> </w:t>
      </w:r>
      <w:r w:rsidR="00355BB5">
        <w:rPr>
          <w:rFonts w:cs="Arial"/>
          <w:color w:val="222222"/>
          <w:shd w:val="clear" w:color="auto" w:fill="FFFFFF"/>
        </w:rPr>
        <w:t>A</w:t>
      </w:r>
      <w:r w:rsidR="009304F9" w:rsidRPr="009304F9">
        <w:rPr>
          <w:rFonts w:cs="Arial"/>
          <w:color w:val="222222"/>
          <w:shd w:val="clear" w:color="auto" w:fill="FFFFFF"/>
        </w:rPr>
        <w:t>dquisiciones</w:t>
      </w:r>
      <w:r w:rsidR="00615304">
        <w:rPr>
          <w:rFonts w:cs="Arial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48327746" w14:textId="77777777" w:rsidR="009304F9" w:rsidRDefault="009304F9" w:rsidP="009304F9"/>
    <w:p w14:paraId="124AAB39" w14:textId="23DBF428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68896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636247E8" w:rsidR="00717985" w:rsidRPr="009304F9" w:rsidRDefault="008D68E1" w:rsidP="009304F9">
      <w:pPr>
        <w:pStyle w:val="Descripcin"/>
        <w:ind w:left="360"/>
        <w:jc w:val="both"/>
        <w:rPr>
          <w:bCs w:val="0"/>
          <w:sz w:val="24"/>
          <w:szCs w:val="22"/>
        </w:rPr>
      </w:pPr>
      <w:r w:rsidRPr="008D08D3">
        <w:rPr>
          <w:bCs w:val="0"/>
          <w:sz w:val="24"/>
          <w:szCs w:val="22"/>
        </w:rPr>
        <w:t xml:space="preserve">Se describe el proceso de </w:t>
      </w:r>
      <w:r w:rsidR="00315A56" w:rsidRPr="008D08D3">
        <w:rPr>
          <w:bCs w:val="0"/>
          <w:sz w:val="24"/>
          <w:szCs w:val="22"/>
        </w:rPr>
        <w:t xml:space="preserve">caso de </w:t>
      </w:r>
      <w:r w:rsidRPr="008D08D3">
        <w:rPr>
          <w:bCs w:val="0"/>
          <w:sz w:val="24"/>
          <w:szCs w:val="22"/>
        </w:rPr>
        <w:t>uso en el apartado “</w:t>
      </w:r>
      <w:r w:rsidR="009304F9">
        <w:rPr>
          <w:bCs w:val="0"/>
          <w:sz w:val="24"/>
          <w:szCs w:val="22"/>
        </w:rPr>
        <w:t>c</w:t>
      </w:r>
      <w:r w:rsidR="00B70AFA" w:rsidRPr="008D08D3">
        <w:rPr>
          <w:bCs w:val="0"/>
          <w:sz w:val="24"/>
          <w:szCs w:val="22"/>
        </w:rPr>
        <w:t>onfiguración del cliente o ente público</w:t>
      </w:r>
      <w:r w:rsidRPr="008D08D3">
        <w:rPr>
          <w:bCs w:val="0"/>
          <w:sz w:val="24"/>
          <w:szCs w:val="22"/>
        </w:rPr>
        <w:t>” dentro del módulo de “</w:t>
      </w:r>
      <w:r w:rsidR="00355BB5">
        <w:rPr>
          <w:bCs w:val="0"/>
          <w:sz w:val="24"/>
          <w:szCs w:val="22"/>
        </w:rPr>
        <w:t>a</w:t>
      </w:r>
      <w:r w:rsidRPr="008D08D3">
        <w:rPr>
          <w:bCs w:val="0"/>
          <w:sz w:val="24"/>
          <w:szCs w:val="22"/>
        </w:rPr>
        <w:t>dquisiciones”, así como los diferentes escenarios emergentes sobre 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4B32BC43" w:rsidR="00CD7EE7" w:rsidRPr="009B44E8" w:rsidRDefault="008D68E1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797C9EBE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AC1EE8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AD0373">
              <w:rPr>
                <w:szCs w:val="28"/>
              </w:rPr>
              <w:t>29</w:t>
            </w:r>
            <w:bookmarkStart w:id="3" w:name="_GoBack"/>
            <w:bookmarkEnd w:id="3"/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6029E4FE" w:rsidR="00717985" w:rsidRPr="00297EFD" w:rsidRDefault="008D68E1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 w:rsidR="00315A56">
              <w:rPr>
                <w:rFonts w:cs="Arial"/>
                <w:color w:val="000000" w:themeColor="text1"/>
                <w:lang w:val="es-MX"/>
              </w:rPr>
              <w:t>dos para la edición del apartado.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registro previo dentro del apartado.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13FED4D8" w:rsidR="009B32ED" w:rsidRPr="00FF5CE7" w:rsidRDefault="00504ECE" w:rsidP="00504ECE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</w:t>
            </w:r>
            <w:r w:rsidRPr="00504ECE">
              <w:rPr>
                <w:color w:val="000000" w:themeColor="text1"/>
                <w:szCs w:val="28"/>
              </w:rPr>
              <w:t>configurar unos parámetros para el cliente. Esto será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504ECE">
              <w:rPr>
                <w:color w:val="000000" w:themeColor="text1"/>
                <w:szCs w:val="28"/>
              </w:rPr>
              <w:t xml:space="preserve">en el </w:t>
            </w:r>
            <w:r w:rsidR="009304F9">
              <w:rPr>
                <w:color w:val="000000" w:themeColor="text1"/>
                <w:szCs w:val="28"/>
              </w:rPr>
              <w:t>m</w:t>
            </w:r>
            <w:r w:rsidRPr="00504ECE">
              <w:rPr>
                <w:color w:val="000000" w:themeColor="text1"/>
                <w:szCs w:val="28"/>
              </w:rPr>
              <w:t xml:space="preserve">ódulo de </w:t>
            </w:r>
            <w:r w:rsidR="009304F9">
              <w:rPr>
                <w:color w:val="000000" w:themeColor="text1"/>
                <w:szCs w:val="28"/>
              </w:rPr>
              <w:t>c</w:t>
            </w:r>
            <w:r w:rsidRPr="00504ECE">
              <w:rPr>
                <w:color w:val="000000" w:themeColor="text1"/>
                <w:szCs w:val="28"/>
              </w:rPr>
              <w:t>onfiguración/</w:t>
            </w:r>
            <w:r w:rsidR="009304F9">
              <w:rPr>
                <w:color w:val="000000" w:themeColor="text1"/>
                <w:szCs w:val="28"/>
              </w:rPr>
              <w:t>c</w:t>
            </w:r>
            <w:r w:rsidRPr="00504ECE">
              <w:rPr>
                <w:color w:val="000000" w:themeColor="text1"/>
                <w:szCs w:val="28"/>
              </w:rPr>
              <w:t xml:space="preserve">onfiguración </w:t>
            </w:r>
            <w:r w:rsidR="009304F9">
              <w:rPr>
                <w:color w:val="000000" w:themeColor="text1"/>
                <w:szCs w:val="28"/>
              </w:rPr>
              <w:t>c</w:t>
            </w:r>
            <w:r w:rsidRPr="00504ECE">
              <w:rPr>
                <w:color w:val="000000" w:themeColor="text1"/>
                <w:szCs w:val="28"/>
              </w:rPr>
              <w:t xml:space="preserve">liente o </w:t>
            </w:r>
            <w:r w:rsidR="009304F9">
              <w:rPr>
                <w:color w:val="000000" w:themeColor="text1"/>
                <w:szCs w:val="28"/>
              </w:rPr>
              <w:t>e</w:t>
            </w:r>
            <w:r w:rsidRPr="00504ECE">
              <w:rPr>
                <w:color w:val="000000" w:themeColor="text1"/>
                <w:szCs w:val="28"/>
              </w:rPr>
              <w:t xml:space="preserve">nte </w:t>
            </w:r>
            <w:r w:rsidR="009304F9">
              <w:rPr>
                <w:color w:val="000000" w:themeColor="text1"/>
                <w:szCs w:val="28"/>
              </w:rPr>
              <w:t>p</w:t>
            </w:r>
            <w:r w:rsidRPr="00504ECE">
              <w:rPr>
                <w:color w:val="000000" w:themeColor="text1"/>
                <w:szCs w:val="28"/>
              </w:rPr>
              <w:t>úblico/</w:t>
            </w:r>
            <w:r w:rsidR="009304F9">
              <w:rPr>
                <w:color w:val="000000" w:themeColor="text1"/>
                <w:szCs w:val="28"/>
              </w:rPr>
              <w:t>a</w:t>
            </w:r>
            <w:r w:rsidRPr="00504ECE">
              <w:rPr>
                <w:color w:val="000000" w:themeColor="text1"/>
                <w:szCs w:val="28"/>
              </w:rPr>
              <w:t>dquisiciones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20E71140" w:rsidR="00F709FA" w:rsidRPr="00211FC3" w:rsidRDefault="009304F9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  <w:r>
              <w:rPr>
                <w:color w:val="000000" w:themeColor="text1"/>
                <w:sz w:val="20"/>
                <w:szCs w:val="22"/>
                <w:lang w:val="es-MX"/>
              </w:rPr>
              <w:t>N/A</w:t>
            </w: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35F28AC9" w:rsidR="00542CC3" w:rsidRPr="00E91C7F" w:rsidRDefault="00504ECE" w:rsidP="00133911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2E46CE59" w:rsidR="00DF11CC" w:rsidRPr="00355BB5" w:rsidRDefault="004D256C" w:rsidP="007A342B">
            <w:pPr>
              <w:jc w:val="both"/>
              <w:rPr>
                <w:rFonts w:cs="Arial"/>
                <w:sz w:val="22"/>
                <w:szCs w:val="22"/>
                <w:lang w:val="es-MX" w:eastAsia="en-US"/>
              </w:rPr>
            </w:pPr>
            <w:r w:rsidRPr="00355BB5">
              <w:rPr>
                <w:rFonts w:cs="Arial"/>
                <w:lang w:val="es-MX" w:eastAsia="en-US"/>
              </w:rPr>
              <w:t xml:space="preserve">Este caso de uso corresponde a información la cual es parte de la configuración de la entidad, por lo </w:t>
            </w:r>
            <w:r w:rsidR="00D63BF1" w:rsidRPr="00355BB5">
              <w:rPr>
                <w:rFonts w:cs="Arial"/>
                <w:lang w:val="es-MX" w:eastAsia="en-US"/>
              </w:rPr>
              <w:t>tanto,</w:t>
            </w:r>
            <w:r w:rsidRPr="00355BB5">
              <w:rPr>
                <w:rFonts w:cs="Arial"/>
                <w:lang w:val="es-MX" w:eastAsia="en-US"/>
              </w:rPr>
              <w:t xml:space="preserve"> </w:t>
            </w:r>
            <w:r w:rsidR="00D63BF1" w:rsidRPr="00355BB5">
              <w:rPr>
                <w:rFonts w:cs="Arial"/>
                <w:lang w:val="es-MX" w:eastAsia="en-US"/>
              </w:rPr>
              <w:t>es de origen seleccionable y se cuenta con las opciones mencionadas en este documento.</w:t>
            </w:r>
          </w:p>
        </w:tc>
      </w:tr>
      <w:bookmarkEnd w:id="2"/>
    </w:tbl>
    <w:p w14:paraId="04742717" w14:textId="14804C04" w:rsidR="00DF11CC" w:rsidRDefault="00DF11CC">
      <w:pPr>
        <w:rPr>
          <w:rFonts w:cs="Arial"/>
          <w:b/>
          <w:sz w:val="26"/>
          <w:szCs w:val="26"/>
        </w:rPr>
      </w:pPr>
    </w:p>
    <w:p w14:paraId="5E85CBCC" w14:textId="0AC8E767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68897"/>
      <w:r>
        <w:rPr>
          <w:rFonts w:cs="Arial"/>
          <w:b/>
          <w:sz w:val="26"/>
          <w:szCs w:val="26"/>
        </w:rPr>
        <w:t>Flujo normal.</w:t>
      </w:r>
      <w:bookmarkEnd w:id="4"/>
    </w:p>
    <w:p w14:paraId="58620773" w14:textId="77777777" w:rsidR="009304F9" w:rsidRDefault="009304F9" w:rsidP="009304F9"/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ACBAF49" w:rsidR="00D63685" w:rsidRDefault="00504ECE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apartado</w:t>
            </w:r>
            <w:r w:rsidR="00290AD5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177E37A3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 xml:space="preserve">No </w:t>
            </w:r>
            <w:r w:rsidR="00504ECE">
              <w:rPr>
                <w:rFonts w:cs="Arial"/>
              </w:rPr>
              <w:t>2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49BC3C99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504ECE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18EAD54E" w14:textId="7B656BCA" w:rsidR="00D12BF3" w:rsidRDefault="00D12BF3" w:rsidP="00D12BF3">
      <w:pPr>
        <w:pStyle w:val="TtuloTDC"/>
        <w:ind w:left="405"/>
        <w:rPr>
          <w:lang w:val="es-ES"/>
        </w:rPr>
      </w:pPr>
    </w:p>
    <w:p w14:paraId="6E4D7ADC" w14:textId="77777777" w:rsidR="00D12BF3" w:rsidRDefault="00D12BF3">
      <w:pPr>
        <w:rPr>
          <w:rFonts w:eastAsiaTheme="majorEastAsia" w:cstheme="majorBidi"/>
          <w:b/>
          <w:bCs/>
          <w:szCs w:val="28"/>
          <w:lang w:eastAsia="ja-JP"/>
        </w:rPr>
      </w:pPr>
      <w:r>
        <w:br w:type="page"/>
      </w:r>
    </w:p>
    <w:p w14:paraId="2C4CE5C6" w14:textId="6F4BB662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46A0C26A" w14:textId="77777777" w:rsidR="008D08D3" w:rsidRPr="008D08D3" w:rsidRDefault="008D08D3" w:rsidP="008D08D3">
      <w:pPr>
        <w:rPr>
          <w:lang w:val="es-MX" w:eastAsia="ja-JP"/>
        </w:rPr>
      </w:pPr>
    </w:p>
    <w:p w14:paraId="0BF96668" w14:textId="5A9B45DB" w:rsidR="00504ECE" w:rsidRPr="008D08D3" w:rsidRDefault="00504ECE" w:rsidP="008D08D3">
      <w:pPr>
        <w:pStyle w:val="Prrafodelista"/>
        <w:numPr>
          <w:ilvl w:val="0"/>
          <w:numId w:val="34"/>
        </w:numPr>
        <w:rPr>
          <w:rFonts w:cs="Arial"/>
          <w:color w:val="000000"/>
          <w:lang w:val="es-MX" w:eastAsia="es-MX"/>
        </w:rPr>
      </w:pPr>
      <w:r w:rsidRPr="008D08D3">
        <w:rPr>
          <w:rFonts w:cs="Arial"/>
          <w:color w:val="000000"/>
          <w:lang w:val="es-MX" w:eastAsia="es-MX"/>
        </w:rPr>
        <w:t>Los campos obligatorios se describen en el diccionario de datos y estos no deben ser valores nulos.</w:t>
      </w:r>
    </w:p>
    <w:p w14:paraId="7DB06575" w14:textId="5B943784" w:rsidR="00AA24D3" w:rsidRPr="008D08D3" w:rsidRDefault="00AA24D3" w:rsidP="00AA24D3">
      <w:pPr>
        <w:rPr>
          <w:rFonts w:cs="Arial"/>
          <w:lang w:val="es-MX" w:eastAsia="ja-JP"/>
        </w:rPr>
      </w:pPr>
    </w:p>
    <w:p w14:paraId="7A6225EF" w14:textId="77777777" w:rsidR="008D08D3" w:rsidRPr="008D08D3" w:rsidRDefault="00504ECE" w:rsidP="008D08D3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CIDFont+F3" w:cs="Arial"/>
          <w:lang w:val="es-MX" w:eastAsia="en-US"/>
        </w:rPr>
      </w:pPr>
      <w:r w:rsidRPr="008D08D3">
        <w:rPr>
          <w:rFonts w:eastAsia="CIDFont+F3" w:cs="Arial"/>
          <w:b/>
          <w:bCs/>
          <w:lang w:val="es-MX" w:eastAsia="en-US"/>
        </w:rPr>
        <w:t>Causa IVA</w:t>
      </w:r>
      <w:r w:rsidR="005451EB" w:rsidRPr="008D08D3">
        <w:rPr>
          <w:rFonts w:eastAsia="CIDFont+F3" w:cs="Arial"/>
          <w:b/>
          <w:bCs/>
          <w:lang w:val="es-MX" w:eastAsia="en-US"/>
        </w:rPr>
        <w:t>:</w:t>
      </w:r>
      <w:r w:rsidR="005451EB" w:rsidRPr="008D08D3">
        <w:rPr>
          <w:rFonts w:eastAsia="CIDFont+F3" w:cs="Arial"/>
          <w:lang w:val="es-MX" w:eastAsia="en-US"/>
        </w:rPr>
        <w:t xml:space="preserve"> l</w:t>
      </w:r>
      <w:r w:rsidRPr="008D08D3">
        <w:rPr>
          <w:rFonts w:eastAsia="CIDFont+F3" w:cs="Arial"/>
          <w:lang w:val="es-MX" w:eastAsia="en-US"/>
        </w:rPr>
        <w:t>a mayoría de los entes público causan IVA, de los que, si causan, deberemos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hacer la diferencia.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La diferencia cuando un ente público causa IVA, está en el registro contable, en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éste se deberá registrar el IVA de los ingresos y gastos que corresponda.</w:t>
      </w:r>
      <w:r w:rsidR="008D08D3" w:rsidRPr="008D08D3">
        <w:rPr>
          <w:rFonts w:eastAsia="CIDFont+F3" w:cs="Arial"/>
          <w:lang w:val="es-MX" w:eastAsia="en-US"/>
        </w:rPr>
        <w:t xml:space="preserve"> </w:t>
      </w:r>
    </w:p>
    <w:p w14:paraId="5FB1B500" w14:textId="77777777" w:rsidR="008D08D3" w:rsidRPr="008D08D3" w:rsidRDefault="008D08D3" w:rsidP="008D08D3">
      <w:pPr>
        <w:pStyle w:val="Prrafodelista"/>
        <w:autoSpaceDE w:val="0"/>
        <w:autoSpaceDN w:val="0"/>
        <w:adjustRightInd w:val="0"/>
        <w:jc w:val="both"/>
        <w:rPr>
          <w:rFonts w:eastAsia="CIDFont+F3" w:cs="Arial"/>
          <w:lang w:val="es-MX" w:eastAsia="en-US"/>
        </w:rPr>
      </w:pPr>
    </w:p>
    <w:p w14:paraId="11AFBCA3" w14:textId="3F799B84" w:rsidR="00395C3F" w:rsidRPr="008D08D3" w:rsidRDefault="00504ECE" w:rsidP="008D08D3">
      <w:pPr>
        <w:pStyle w:val="Prrafodelista"/>
        <w:autoSpaceDE w:val="0"/>
        <w:autoSpaceDN w:val="0"/>
        <w:adjustRightInd w:val="0"/>
        <w:jc w:val="both"/>
        <w:rPr>
          <w:rFonts w:eastAsia="CIDFont+F3" w:cs="Arial"/>
          <w:lang w:val="es-MX" w:eastAsia="en-US"/>
        </w:rPr>
      </w:pPr>
      <w:r w:rsidRPr="008D08D3">
        <w:rPr>
          <w:rFonts w:eastAsia="CIDFont+F3" w:cs="Arial"/>
          <w:lang w:val="es-MX" w:eastAsia="en-US"/>
        </w:rPr>
        <w:t>El punto anterior lo vamos a ver reflejado en la configuración de las pólizas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respectivas.</w:t>
      </w:r>
    </w:p>
    <w:p w14:paraId="374FDA9D" w14:textId="77777777" w:rsidR="008D08D3" w:rsidRPr="008D08D3" w:rsidRDefault="008D08D3" w:rsidP="008D08D3">
      <w:pPr>
        <w:pStyle w:val="Prrafodelista"/>
        <w:autoSpaceDE w:val="0"/>
        <w:autoSpaceDN w:val="0"/>
        <w:adjustRightInd w:val="0"/>
        <w:rPr>
          <w:rFonts w:eastAsia="CIDFont+F3" w:cs="Arial"/>
          <w:lang w:val="es-MX" w:eastAsia="en-US"/>
        </w:rPr>
      </w:pPr>
    </w:p>
    <w:p w14:paraId="07483E0D" w14:textId="200B5013" w:rsidR="00504ECE" w:rsidRPr="008D08D3" w:rsidRDefault="00504ECE" w:rsidP="008D08D3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CIDFont+F3" w:cs="Arial"/>
          <w:lang w:val="es-MX" w:eastAsia="en-US"/>
        </w:rPr>
      </w:pPr>
      <w:r w:rsidRPr="008D08D3">
        <w:rPr>
          <w:rFonts w:eastAsia="CIDFont+F3" w:cs="Arial"/>
          <w:b/>
          <w:bCs/>
          <w:lang w:val="es-MX" w:eastAsia="en-US"/>
        </w:rPr>
        <w:t xml:space="preserve">Plan </w:t>
      </w:r>
      <w:r w:rsidR="008D08D3" w:rsidRPr="008D08D3">
        <w:rPr>
          <w:rFonts w:eastAsia="CIDFont+F3" w:cs="Arial"/>
          <w:b/>
          <w:bCs/>
          <w:lang w:val="es-MX" w:eastAsia="en-US"/>
        </w:rPr>
        <w:t>a</w:t>
      </w:r>
      <w:r w:rsidRPr="008D08D3">
        <w:rPr>
          <w:rFonts w:eastAsia="CIDFont+F3" w:cs="Arial"/>
          <w:b/>
          <w:bCs/>
          <w:lang w:val="es-MX" w:eastAsia="en-US"/>
        </w:rPr>
        <w:t xml:space="preserve">nual de </w:t>
      </w:r>
      <w:r w:rsidR="008D08D3" w:rsidRPr="008D08D3">
        <w:rPr>
          <w:rFonts w:eastAsia="CIDFont+F3" w:cs="Arial"/>
          <w:b/>
          <w:bCs/>
          <w:lang w:val="es-MX" w:eastAsia="en-US"/>
        </w:rPr>
        <w:t>c</w:t>
      </w:r>
      <w:r w:rsidRPr="008D08D3">
        <w:rPr>
          <w:rFonts w:eastAsia="CIDFont+F3" w:cs="Arial"/>
          <w:b/>
          <w:bCs/>
          <w:lang w:val="es-MX" w:eastAsia="en-US"/>
        </w:rPr>
        <w:t>ompras</w:t>
      </w:r>
      <w:r w:rsidR="008D08D3" w:rsidRPr="008D08D3">
        <w:rPr>
          <w:rFonts w:eastAsia="CIDFont+F3" w:cs="Arial"/>
          <w:b/>
          <w:bCs/>
          <w:lang w:val="es-MX" w:eastAsia="en-US"/>
        </w:rPr>
        <w:t>:</w:t>
      </w:r>
      <w:r w:rsidR="008D08D3" w:rsidRPr="008D08D3">
        <w:rPr>
          <w:rFonts w:eastAsia="CIDFont+F3" w:cs="Arial"/>
          <w:lang w:val="es-MX" w:eastAsia="en-US"/>
        </w:rPr>
        <w:t xml:space="preserve"> e</w:t>
      </w:r>
      <w:r w:rsidRPr="008D08D3">
        <w:rPr>
          <w:rFonts w:eastAsia="CIDFont+F3" w:cs="Arial"/>
          <w:lang w:val="es-MX" w:eastAsia="en-US"/>
        </w:rPr>
        <w:t>l plan anual de compras se genera del presupuesto anual de egresos con la opción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de presupuestar por productos/servicios.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Esta opción lo utilizan, generalmente, los entes públicos de nivel federal.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Este punto aún no está desarrollado, lo vamos a dejar para una segunda versión del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SAC o cuando aparezca un cliente que requiera esta opción.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Cuando se elige esta opción, no aplican las siguientes dos opciones: “verificar</w:t>
      </w:r>
      <w:r w:rsidR="008D08D3" w:rsidRPr="008D08D3">
        <w:rPr>
          <w:rFonts w:eastAsia="CIDFont+F3" w:cs="Arial"/>
          <w:lang w:val="es-MX" w:eastAsia="en-US"/>
        </w:rPr>
        <w:t xml:space="preserve"> e</w:t>
      </w:r>
      <w:r w:rsidRPr="008D08D3">
        <w:rPr>
          <w:rFonts w:eastAsia="CIDFont+F3" w:cs="Arial"/>
          <w:lang w:val="es-MX" w:eastAsia="en-US"/>
        </w:rPr>
        <w:t>xistencia y Apartar productos en almacén”.</w:t>
      </w:r>
    </w:p>
    <w:p w14:paraId="6D0BA298" w14:textId="77777777" w:rsidR="008D08D3" w:rsidRPr="008D08D3" w:rsidRDefault="008D08D3" w:rsidP="008D08D3">
      <w:pPr>
        <w:autoSpaceDE w:val="0"/>
        <w:autoSpaceDN w:val="0"/>
        <w:adjustRightInd w:val="0"/>
        <w:rPr>
          <w:rFonts w:eastAsia="CIDFont+F3" w:cs="Arial"/>
          <w:lang w:val="es-MX" w:eastAsia="en-US"/>
        </w:rPr>
      </w:pPr>
    </w:p>
    <w:p w14:paraId="2AFB3BC5" w14:textId="3C6B8C3F" w:rsidR="00504ECE" w:rsidRPr="008D08D3" w:rsidRDefault="00504ECE" w:rsidP="008D08D3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eastAsia="CIDFont+F3" w:cs="Arial"/>
          <w:lang w:val="es-MX" w:eastAsia="en-US"/>
        </w:rPr>
      </w:pPr>
      <w:r w:rsidRPr="008D08D3">
        <w:rPr>
          <w:rFonts w:eastAsia="CIDFont+F3" w:cs="Arial"/>
          <w:b/>
          <w:bCs/>
          <w:lang w:val="es-MX" w:eastAsia="en-US"/>
        </w:rPr>
        <w:t xml:space="preserve">Verificar </w:t>
      </w:r>
      <w:r w:rsidR="008D08D3" w:rsidRPr="008D08D3">
        <w:rPr>
          <w:rFonts w:eastAsia="CIDFont+F3" w:cs="Arial"/>
          <w:b/>
          <w:bCs/>
          <w:lang w:val="es-MX" w:eastAsia="en-US"/>
        </w:rPr>
        <w:t>e</w:t>
      </w:r>
      <w:r w:rsidRPr="008D08D3">
        <w:rPr>
          <w:rFonts w:eastAsia="CIDFont+F3" w:cs="Arial"/>
          <w:b/>
          <w:bCs/>
          <w:lang w:val="es-MX" w:eastAsia="en-US"/>
        </w:rPr>
        <w:t>xistencia</w:t>
      </w:r>
      <w:r w:rsidR="008D08D3" w:rsidRPr="008D08D3">
        <w:rPr>
          <w:rFonts w:eastAsia="CIDFont+F3" w:cs="Arial"/>
          <w:b/>
          <w:bCs/>
          <w:lang w:val="es-MX" w:eastAsia="en-US"/>
        </w:rPr>
        <w:t>:</w:t>
      </w:r>
      <w:r w:rsidR="008D08D3" w:rsidRPr="008D08D3">
        <w:rPr>
          <w:rFonts w:eastAsia="CIDFont+F3" w:cs="Arial"/>
          <w:lang w:val="es-MX" w:eastAsia="en-US"/>
        </w:rPr>
        <w:t xml:space="preserve"> e</w:t>
      </w:r>
      <w:r w:rsidRPr="008D08D3">
        <w:rPr>
          <w:rFonts w:eastAsia="CIDFont+F3" w:cs="Arial"/>
          <w:lang w:val="es-MX" w:eastAsia="en-US"/>
        </w:rPr>
        <w:t>sta opción aplica cuando no se selecciona “plan anual de compras”</w:t>
      </w:r>
      <w:r w:rsidR="008D08D3" w:rsidRPr="008D08D3">
        <w:rPr>
          <w:rFonts w:eastAsia="CIDFont+F3" w:cs="Arial"/>
          <w:lang w:val="es-MX" w:eastAsia="en-US"/>
        </w:rPr>
        <w:t xml:space="preserve"> e</w:t>
      </w:r>
      <w:r w:rsidRPr="008D08D3">
        <w:rPr>
          <w:rFonts w:eastAsia="CIDFont+F3" w:cs="Arial"/>
          <w:lang w:val="es-MX" w:eastAsia="en-US"/>
        </w:rPr>
        <w:t>ste punto se vincula con el Módulo de Almacén, como aún no se tiene este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módulo, esto lo atenderemos cuando esté desarrollado dicho módulo.</w:t>
      </w:r>
    </w:p>
    <w:p w14:paraId="2FC16520" w14:textId="77777777" w:rsidR="008D08D3" w:rsidRPr="008D08D3" w:rsidRDefault="008D08D3" w:rsidP="008D08D3">
      <w:pPr>
        <w:autoSpaceDE w:val="0"/>
        <w:autoSpaceDN w:val="0"/>
        <w:adjustRightInd w:val="0"/>
        <w:rPr>
          <w:rFonts w:eastAsia="CIDFont+F3" w:cs="Arial"/>
          <w:lang w:val="es-MX" w:eastAsia="en-US"/>
        </w:rPr>
      </w:pPr>
    </w:p>
    <w:p w14:paraId="5069D566" w14:textId="3F4DEF88" w:rsidR="00504ECE" w:rsidRPr="008D08D3" w:rsidRDefault="00504ECE" w:rsidP="008D08D3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CIDFont+F3" w:cs="Arial"/>
          <w:lang w:val="es-MX" w:eastAsia="en-US"/>
        </w:rPr>
      </w:pPr>
      <w:r w:rsidRPr="008D08D3">
        <w:rPr>
          <w:rFonts w:eastAsia="CIDFont+F3" w:cs="Arial"/>
          <w:b/>
          <w:bCs/>
          <w:lang w:val="es-MX" w:eastAsia="en-US"/>
        </w:rPr>
        <w:t>Apartar productos en almacén</w:t>
      </w:r>
      <w:r w:rsidR="008D08D3" w:rsidRPr="008D08D3">
        <w:rPr>
          <w:rFonts w:eastAsia="CIDFont+F3" w:cs="Arial"/>
          <w:b/>
          <w:bCs/>
          <w:lang w:val="es-MX" w:eastAsia="en-US"/>
        </w:rPr>
        <w:t>:</w:t>
      </w:r>
      <w:r w:rsidR="008D08D3" w:rsidRPr="008D08D3">
        <w:rPr>
          <w:rFonts w:eastAsia="CIDFont+F3" w:cs="Arial"/>
          <w:lang w:val="es-MX" w:eastAsia="en-US"/>
        </w:rPr>
        <w:t xml:space="preserve"> e</w:t>
      </w:r>
      <w:r w:rsidRPr="008D08D3">
        <w:rPr>
          <w:rFonts w:eastAsia="CIDFont+F3" w:cs="Arial"/>
          <w:lang w:val="es-MX" w:eastAsia="en-US"/>
        </w:rPr>
        <w:t>sta opción aplica cuando no se selecciona “plan anual de compras”</w:t>
      </w:r>
      <w:r w:rsidR="008D08D3" w:rsidRPr="008D08D3">
        <w:rPr>
          <w:rFonts w:eastAsia="CIDFont+F3" w:cs="Arial"/>
          <w:lang w:val="es-MX" w:eastAsia="en-US"/>
        </w:rPr>
        <w:t xml:space="preserve"> e</w:t>
      </w:r>
      <w:r w:rsidRPr="008D08D3">
        <w:rPr>
          <w:rFonts w:eastAsia="CIDFont+F3" w:cs="Arial"/>
          <w:lang w:val="es-MX" w:eastAsia="en-US"/>
        </w:rPr>
        <w:t>ste punto se vincula con el Módulo de Almacén, como aún no se tiene este</w:t>
      </w:r>
      <w:r w:rsidR="008D08D3" w:rsidRPr="008D08D3">
        <w:rPr>
          <w:rFonts w:eastAsia="CIDFont+F3" w:cs="Arial"/>
          <w:lang w:val="es-MX" w:eastAsia="en-US"/>
        </w:rPr>
        <w:t xml:space="preserve"> </w:t>
      </w:r>
      <w:r w:rsidRPr="008D08D3">
        <w:rPr>
          <w:rFonts w:eastAsia="CIDFont+F3" w:cs="Arial"/>
          <w:lang w:val="es-MX" w:eastAsia="en-US"/>
        </w:rPr>
        <w:t>módulo, esto lo atenderemos cuando esté desarrollado dicho módulo.</w:t>
      </w: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3E2FC57F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193C9752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104CA945" w14:textId="77777777" w:rsidR="00D12BF3" w:rsidRDefault="00D12BF3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3107B8E3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68898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2D251FD7" w:rsidR="00490541" w:rsidRDefault="00490541" w:rsidP="00490541">
      <w:pPr>
        <w:rPr>
          <w:rFonts w:cs="Arial"/>
          <w:lang w:val="es-MX"/>
        </w:rPr>
      </w:pPr>
    </w:p>
    <w:p w14:paraId="52BEB00C" w14:textId="23AAEDDD" w:rsidR="00E94708" w:rsidRDefault="00B70AFA" w:rsidP="00490541">
      <w:r w:rsidRPr="00B70AFA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7776DD0A" wp14:editId="4252208F">
            <wp:simplePos x="0" y="0"/>
            <wp:positionH relativeFrom="column">
              <wp:posOffset>236163</wp:posOffset>
            </wp:positionH>
            <wp:positionV relativeFrom="paragraph">
              <wp:posOffset>1159510</wp:posOffset>
            </wp:positionV>
            <wp:extent cx="5259761" cy="4343400"/>
            <wp:effectExtent l="0" t="0" r="0" b="0"/>
            <wp:wrapNone/>
            <wp:docPr id="4" name="Imagen 4" descr="C:\Users\acer\Desktop\Migob\2 FICHA DE TRABAJO No. 69 REQUISICIONES\formato caso de uso.drawio sol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Migob\2 FICHA DE TRABAJO No. 69 REQUISICIONES\formato caso de uso.drawio solo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 t="7415" r="1408" b="12531"/>
                    <a:stretch/>
                  </pic:blipFill>
                  <pic:spPr bwMode="auto">
                    <a:xfrm>
                      <a:off x="0" y="0"/>
                      <a:ext cx="5262775" cy="434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496496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2848A003" w14:textId="62A7075F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68899"/>
      <w:r>
        <w:rPr>
          <w:rFonts w:cs="Arial"/>
          <w:b/>
          <w:sz w:val="26"/>
          <w:szCs w:val="26"/>
        </w:rPr>
        <w:lastRenderedPageBreak/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2A971B88" w14:textId="77777777" w:rsidR="009304F9" w:rsidRDefault="009304F9" w:rsidP="009304F9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7"/>
        <w:gridCol w:w="7002"/>
      </w:tblGrid>
      <w:tr w:rsidR="009304F9" w:rsidRPr="00A73901" w14:paraId="3E1372AA" w14:textId="77777777" w:rsidTr="009304F9">
        <w:tc>
          <w:tcPr>
            <w:tcW w:w="2207" w:type="dxa"/>
          </w:tcPr>
          <w:p w14:paraId="0207FBA3" w14:textId="77777777" w:rsidR="009304F9" w:rsidRPr="00E56DB5" w:rsidRDefault="009304F9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7002" w:type="dxa"/>
          </w:tcPr>
          <w:p w14:paraId="074D5DC8" w14:textId="181A2054" w:rsidR="009304F9" w:rsidRPr="00A73901" w:rsidRDefault="009304F9" w:rsidP="00B60FDA">
            <w:pPr>
              <w:rPr>
                <w:rFonts w:cs="Arial"/>
              </w:rPr>
            </w:pPr>
            <w:proofErr w:type="spellStart"/>
            <w:r w:rsidRPr="009304F9">
              <w:rPr>
                <w:rFonts w:cs="Arial"/>
              </w:rPr>
              <w:t>config_cliente_ente_adquiciones</w:t>
            </w:r>
            <w:proofErr w:type="spellEnd"/>
          </w:p>
        </w:tc>
      </w:tr>
      <w:tr w:rsidR="009304F9" w:rsidRPr="00A73901" w14:paraId="26E7D9D2" w14:textId="77777777" w:rsidTr="009304F9">
        <w:trPr>
          <w:trHeight w:val="247"/>
        </w:trPr>
        <w:tc>
          <w:tcPr>
            <w:tcW w:w="2207" w:type="dxa"/>
          </w:tcPr>
          <w:p w14:paraId="0B22A64A" w14:textId="77777777" w:rsidR="009304F9" w:rsidRPr="00E56DB5" w:rsidRDefault="009304F9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7002" w:type="dxa"/>
          </w:tcPr>
          <w:p w14:paraId="4B521476" w14:textId="0CBE0772" w:rsidR="009304F9" w:rsidRPr="00A7413E" w:rsidRDefault="009304F9" w:rsidP="00B60FDA">
            <w:pPr>
              <w:rPr>
                <w:rFonts w:cs="Arial"/>
              </w:rPr>
            </w:pPr>
            <w:r w:rsidRPr="009304F9">
              <w:rPr>
                <w:rFonts w:cs="Arial"/>
              </w:rPr>
              <w:t>Configuración del cliente o ente público en el módulo de Adquisiciones.</w:t>
            </w:r>
          </w:p>
        </w:tc>
      </w:tr>
    </w:tbl>
    <w:p w14:paraId="73E10BE9" w14:textId="77777777" w:rsidR="009304F9" w:rsidRPr="009304F9" w:rsidRDefault="009304F9" w:rsidP="009304F9">
      <w:pPr>
        <w:rPr>
          <w:rFonts w:cs="Arial"/>
          <w:b/>
          <w:sz w:val="26"/>
          <w:szCs w:val="26"/>
        </w:rPr>
      </w:pPr>
    </w:p>
    <w:tbl>
      <w:tblPr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1013"/>
        <w:gridCol w:w="1014"/>
        <w:gridCol w:w="1013"/>
        <w:gridCol w:w="1013"/>
        <w:gridCol w:w="579"/>
        <w:gridCol w:w="724"/>
        <w:gridCol w:w="1976"/>
      </w:tblGrid>
      <w:tr w:rsidR="009304F9" w:rsidRPr="00356444" w14:paraId="2AA95D1C" w14:textId="77777777" w:rsidTr="009304F9">
        <w:trPr>
          <w:trHeight w:val="229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6B0B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4E20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0641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C347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688F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3A1F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A0FD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C8B3" w14:textId="77777777" w:rsidR="00356444" w:rsidRPr="008D08D3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9304F9" w:rsidRPr="00356444" w14:paraId="6927BAF6" w14:textId="77777777" w:rsidTr="009304F9">
        <w:trPr>
          <w:trHeight w:val="229"/>
        </w:trPr>
        <w:tc>
          <w:tcPr>
            <w:tcW w:w="1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D7B5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211B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E74C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03F5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9B46E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D3CD" w14:textId="77777777" w:rsidR="00356444" w:rsidRPr="009304F9" w:rsidRDefault="00356444" w:rsidP="00356444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304F9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3244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4FE5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304F9" w:rsidRPr="00356444" w14:paraId="03895080" w14:textId="77777777" w:rsidTr="009304F9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671B" w14:textId="08249682" w:rsidR="00356444" w:rsidRPr="008D08D3" w:rsidRDefault="008D08D3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3454" w14:textId="77777777" w:rsidR="00356444" w:rsidRPr="008D08D3" w:rsidRDefault="00356444" w:rsidP="0035644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32DC" w14:textId="77777777" w:rsidR="00356444" w:rsidRPr="008D08D3" w:rsidRDefault="00356444" w:rsidP="0035644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1289" w14:textId="77777777" w:rsidR="00356444" w:rsidRPr="008D08D3" w:rsidRDefault="00356444" w:rsidP="0035644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1233" w14:textId="77777777" w:rsidR="00356444" w:rsidRPr="008D08D3" w:rsidRDefault="00356444" w:rsidP="0035644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EEE5" w14:textId="77777777" w:rsidR="00356444" w:rsidRPr="008D08D3" w:rsidRDefault="00356444" w:rsidP="0035644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7BCA" w14:textId="77777777" w:rsidR="00356444" w:rsidRPr="008D08D3" w:rsidRDefault="00356444" w:rsidP="0035644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E1DB" w14:textId="77777777" w:rsidR="00356444" w:rsidRPr="008D08D3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9304F9" w:rsidRPr="00356444" w14:paraId="13756710" w14:textId="77777777" w:rsidTr="009304F9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5CCC7" w14:textId="569EC9F5" w:rsid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DB10D" w14:textId="4B7C31BA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E39DA" w14:textId="768C7E50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6365" w14:textId="06D6C9CA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F5A1" w14:textId="7907EE45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6F674" w14:textId="5D744180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BF99" w14:textId="6AD01578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802EF" w14:textId="416A8F60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9304F9" w:rsidRPr="00356444" w14:paraId="4E3112D3" w14:textId="77777777" w:rsidTr="009304F9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EBFB" w14:textId="4F3F7841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</w:t>
            </w: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ausa</w:t>
            </w: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_</w:t>
            </w: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iva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DFD8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04E8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3543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2448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A8EF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BD4E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2310" w14:textId="77777777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causa IVA.</w:t>
            </w:r>
          </w:p>
        </w:tc>
      </w:tr>
      <w:tr w:rsidR="009304F9" w:rsidRPr="00356444" w14:paraId="5EBB3EF9" w14:textId="77777777" w:rsidTr="009304F9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05B7" w14:textId="77777777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plananual_compras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07E3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511B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30C8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366F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08A2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ED31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4F70" w14:textId="1EDA7CF1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</w:t>
            </w: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lan </w:t>
            </w: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a</w:t>
            </w: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nual de Compras.</w:t>
            </w:r>
          </w:p>
        </w:tc>
      </w:tr>
      <w:tr w:rsidR="009304F9" w:rsidRPr="00356444" w14:paraId="4BCE36F6" w14:textId="77777777" w:rsidTr="009304F9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B4A4" w14:textId="77777777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verificar_existencia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DDC8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1233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38D9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9C4B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E3AD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5C8E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A568" w14:textId="1D29BA45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</w:t>
            </w: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erificar </w:t>
            </w: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</w:t>
            </w: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xistencia.</w:t>
            </w:r>
          </w:p>
        </w:tc>
      </w:tr>
      <w:tr w:rsidR="009304F9" w:rsidRPr="00356444" w14:paraId="68E3F9A1" w14:textId="77777777" w:rsidTr="009304F9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4D57" w14:textId="77777777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apartarproductos_almacen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D181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25F7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6858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DC4C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31D7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E3F6" w14:textId="77777777" w:rsidR="008D08D3" w:rsidRPr="008D08D3" w:rsidRDefault="008D08D3" w:rsidP="008D08D3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52EC" w14:textId="5A5BB7C9" w:rsidR="008D08D3" w:rsidRPr="008D08D3" w:rsidRDefault="008D08D3" w:rsidP="008D08D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a</w:t>
            </w: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partar productos en almacén.</w:t>
            </w:r>
          </w:p>
        </w:tc>
      </w:tr>
    </w:tbl>
    <w:p w14:paraId="3CEBEDA2" w14:textId="77777777" w:rsidR="009304F9" w:rsidRDefault="009304F9" w:rsidP="009304F9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414"/>
        <w:gridCol w:w="4795"/>
      </w:tblGrid>
      <w:tr w:rsidR="009304F9" w14:paraId="05216976" w14:textId="77777777" w:rsidTr="009304F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C084CC2" w14:textId="77777777" w:rsidR="009304F9" w:rsidRDefault="009304F9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56E9E" w14:textId="77777777" w:rsidR="009304F9" w:rsidRDefault="009304F9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9304F9" w14:paraId="4840A056" w14:textId="77777777" w:rsidTr="009304F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80F9" w14:textId="77777777" w:rsidR="009304F9" w:rsidRDefault="009304F9" w:rsidP="00B60FD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B7A1" w14:textId="77777777" w:rsidR="009304F9" w:rsidRDefault="009304F9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10FE7AB" w14:textId="77777777" w:rsidR="009304F9" w:rsidRDefault="009304F9" w:rsidP="009304F9"/>
    <w:p w14:paraId="6D847C5E" w14:textId="3E619E9B" w:rsidR="009304F9" w:rsidRDefault="009304F9" w:rsidP="009304F9"/>
    <w:p w14:paraId="420E84B6" w14:textId="4206233E" w:rsidR="009304F9" w:rsidRDefault="009304F9" w:rsidP="009304F9"/>
    <w:p w14:paraId="0082D54C" w14:textId="363D7AEF" w:rsidR="009304F9" w:rsidRDefault="009304F9" w:rsidP="009304F9"/>
    <w:p w14:paraId="6FA1F0C0" w14:textId="329DD775" w:rsidR="009304F9" w:rsidRDefault="009304F9" w:rsidP="009304F9"/>
    <w:p w14:paraId="6C5F77F2" w14:textId="258973F4" w:rsidR="009304F9" w:rsidRDefault="009304F9" w:rsidP="009304F9"/>
    <w:p w14:paraId="253226FE" w14:textId="77777777" w:rsidR="009304F9" w:rsidRDefault="009304F9" w:rsidP="009304F9"/>
    <w:p w14:paraId="49061108" w14:textId="25E682F1" w:rsidR="009304F9" w:rsidRDefault="009304F9" w:rsidP="009304F9"/>
    <w:p w14:paraId="173A2A93" w14:textId="08EE987E" w:rsidR="009304F9" w:rsidRDefault="009304F9" w:rsidP="009304F9"/>
    <w:p w14:paraId="445CBF2A" w14:textId="351E7A3C" w:rsidR="009304F9" w:rsidRDefault="009304F9" w:rsidP="009304F9"/>
    <w:p w14:paraId="6D4430AD" w14:textId="6C0C57BA" w:rsidR="009304F9" w:rsidRDefault="009304F9" w:rsidP="009304F9"/>
    <w:p w14:paraId="308E7694" w14:textId="6467D6EB" w:rsidR="009304F9" w:rsidRDefault="009304F9" w:rsidP="009304F9"/>
    <w:p w14:paraId="7EACD653" w14:textId="47A73001" w:rsidR="009304F9" w:rsidRDefault="009304F9" w:rsidP="009304F9"/>
    <w:p w14:paraId="73E967F5" w14:textId="5C461AC9" w:rsidR="009304F9" w:rsidRDefault="009304F9" w:rsidP="009304F9"/>
    <w:p w14:paraId="087E89BC" w14:textId="7976964F" w:rsidR="009304F9" w:rsidRDefault="009304F9" w:rsidP="009304F9"/>
    <w:p w14:paraId="55714A8F" w14:textId="76464582" w:rsidR="009304F9" w:rsidRDefault="009304F9" w:rsidP="009304F9"/>
    <w:p w14:paraId="00E58C35" w14:textId="01408A06" w:rsidR="009304F9" w:rsidRDefault="009304F9" w:rsidP="009304F9"/>
    <w:p w14:paraId="23FBC792" w14:textId="77777777" w:rsidR="009304F9" w:rsidRDefault="009304F9" w:rsidP="009304F9"/>
    <w:p w14:paraId="23908457" w14:textId="7A31D019" w:rsidR="009304F9" w:rsidRDefault="009304F9" w:rsidP="009304F9"/>
    <w:p w14:paraId="64094EC2" w14:textId="541F5619" w:rsidR="009304F9" w:rsidRDefault="009304F9" w:rsidP="009304F9"/>
    <w:p w14:paraId="5136CCF4" w14:textId="77777777" w:rsidR="009304F9" w:rsidRPr="009304F9" w:rsidRDefault="009304F9" w:rsidP="009304F9"/>
    <w:p w14:paraId="6AAFDADF" w14:textId="0EA41D55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68900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13FBA4DB" w14:textId="459A8C8F" w:rsidR="00AA0F4B" w:rsidRDefault="00AA0F4B" w:rsidP="00A80D7E">
      <w:pPr>
        <w:rPr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bookmarkStart w:id="8" w:name="_Toc82510010"/>
      <w:r>
        <w:rPr>
          <w:lang w:val="es-MX" w:eastAsia="en-US"/>
        </w:rPr>
        <w:t>Se present</w:t>
      </w:r>
      <w:r w:rsidR="00411061">
        <w:rPr>
          <w:lang w:val="es-MX" w:eastAsia="en-US"/>
        </w:rPr>
        <w:t>a el planteamiento del diseño del caso de uso en cuestión</w:t>
      </w:r>
      <w:bookmarkEnd w:id="8"/>
      <w:r w:rsidR="00411061">
        <w:rPr>
          <w:lang w:val="es-MX" w:eastAsia="en-US"/>
        </w:rPr>
        <w:t>.</w:t>
      </w:r>
    </w:p>
    <w:p w14:paraId="4528A2D3" w14:textId="56AB12DE" w:rsidR="00AA0F4B" w:rsidRPr="00AA0F4B" w:rsidRDefault="00AA0F4B" w:rsidP="00A80D7E">
      <w:pPr>
        <w:rPr>
          <w:lang w:val="es-MX" w:eastAsia="en-US"/>
        </w:rPr>
      </w:pPr>
      <w:r>
        <w:rPr>
          <w:lang w:val="es-MX" w:eastAsia="en-US"/>
        </w:rPr>
        <w:br/>
      </w:r>
      <w:r w:rsidR="00B70AFA" w:rsidRPr="00B70AFA">
        <w:rPr>
          <w:noProof/>
          <w:lang w:val="es-MX" w:eastAsia="es-MX"/>
        </w:rPr>
        <w:drawing>
          <wp:inline distT="0" distB="0" distL="0" distR="0" wp14:anchorId="17807DFA" wp14:editId="5DC7D7B5">
            <wp:extent cx="1912620" cy="830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4B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A657B" w14:textId="77777777" w:rsidR="00383A7B" w:rsidRDefault="00383A7B">
      <w:r>
        <w:separator/>
      </w:r>
    </w:p>
  </w:endnote>
  <w:endnote w:type="continuationSeparator" w:id="0">
    <w:p w14:paraId="0179F19A" w14:textId="77777777" w:rsidR="00383A7B" w:rsidRDefault="00383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FBC4BF5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D0373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E39D7" w14:textId="77777777" w:rsidR="00383A7B" w:rsidRDefault="00383A7B">
      <w:r>
        <w:separator/>
      </w:r>
    </w:p>
  </w:footnote>
  <w:footnote w:type="continuationSeparator" w:id="0">
    <w:p w14:paraId="16C3E069" w14:textId="77777777" w:rsidR="00383A7B" w:rsidRDefault="00383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46109C"/>
    <w:multiLevelType w:val="hybridMultilevel"/>
    <w:tmpl w:val="57D4E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072B86"/>
    <w:multiLevelType w:val="hybridMultilevel"/>
    <w:tmpl w:val="CDD26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B5CFA"/>
    <w:multiLevelType w:val="hybridMultilevel"/>
    <w:tmpl w:val="6BDEA390"/>
    <w:lvl w:ilvl="0" w:tplc="2EC215C4">
      <w:numFmt w:val="bullet"/>
      <w:lvlText w:val=""/>
      <w:lvlJc w:val="left"/>
      <w:pPr>
        <w:ind w:left="720" w:hanging="360"/>
      </w:pPr>
      <w:rPr>
        <w:rFonts w:ascii="CIDFont+F3" w:eastAsia="CIDFont+F3" w:hAnsi="Times New Roman" w:cs="CIDFont+F3" w:hint="eastAsia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F90137"/>
    <w:multiLevelType w:val="hybridMultilevel"/>
    <w:tmpl w:val="88E08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1"/>
  </w:num>
  <w:num w:numId="22">
    <w:abstractNumId w:val="21"/>
  </w:num>
  <w:num w:numId="23">
    <w:abstractNumId w:val="4"/>
  </w:num>
  <w:num w:numId="24">
    <w:abstractNumId w:val="2"/>
  </w:num>
  <w:num w:numId="25">
    <w:abstractNumId w:val="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5"/>
  </w:num>
  <w:num w:numId="29">
    <w:abstractNumId w:val="6"/>
  </w:num>
  <w:num w:numId="30">
    <w:abstractNumId w:val="20"/>
  </w:num>
  <w:num w:numId="31">
    <w:abstractNumId w:val="17"/>
  </w:num>
  <w:num w:numId="32">
    <w:abstractNumId w:val="13"/>
  </w:num>
  <w:num w:numId="33">
    <w:abstractNumId w:val="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0904"/>
    <w:rsid w:val="000F6627"/>
    <w:rsid w:val="000F6903"/>
    <w:rsid w:val="000F6F59"/>
    <w:rsid w:val="001020E1"/>
    <w:rsid w:val="0010266A"/>
    <w:rsid w:val="00103D59"/>
    <w:rsid w:val="001076AB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54B47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2563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5A56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55BB5"/>
    <w:rsid w:val="00356444"/>
    <w:rsid w:val="00360F45"/>
    <w:rsid w:val="00362393"/>
    <w:rsid w:val="00363725"/>
    <w:rsid w:val="0036511B"/>
    <w:rsid w:val="00373BAE"/>
    <w:rsid w:val="00383A7B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1061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256C"/>
    <w:rsid w:val="004D348C"/>
    <w:rsid w:val="004D3A26"/>
    <w:rsid w:val="004D4235"/>
    <w:rsid w:val="004D688E"/>
    <w:rsid w:val="004D7392"/>
    <w:rsid w:val="004F4285"/>
    <w:rsid w:val="004F480A"/>
    <w:rsid w:val="00500C3D"/>
    <w:rsid w:val="00502B23"/>
    <w:rsid w:val="00504ECE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451EB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21EC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725"/>
    <w:rsid w:val="00722922"/>
    <w:rsid w:val="007321A7"/>
    <w:rsid w:val="00733084"/>
    <w:rsid w:val="00737345"/>
    <w:rsid w:val="0074105B"/>
    <w:rsid w:val="00741FDC"/>
    <w:rsid w:val="007430DC"/>
    <w:rsid w:val="00751442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87798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3C71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1FCE"/>
    <w:rsid w:val="008B23DD"/>
    <w:rsid w:val="008B36F2"/>
    <w:rsid w:val="008C2155"/>
    <w:rsid w:val="008D08D3"/>
    <w:rsid w:val="008D38CA"/>
    <w:rsid w:val="008D4E27"/>
    <w:rsid w:val="008D68E1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04F9"/>
    <w:rsid w:val="009316E3"/>
    <w:rsid w:val="00936CFC"/>
    <w:rsid w:val="009374F4"/>
    <w:rsid w:val="009415FB"/>
    <w:rsid w:val="00950AC5"/>
    <w:rsid w:val="00951198"/>
    <w:rsid w:val="00952493"/>
    <w:rsid w:val="00953B76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251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1EE8"/>
    <w:rsid w:val="00AC2D21"/>
    <w:rsid w:val="00AD0373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488F"/>
    <w:rsid w:val="00B65186"/>
    <w:rsid w:val="00B656B2"/>
    <w:rsid w:val="00B668EA"/>
    <w:rsid w:val="00B66E5C"/>
    <w:rsid w:val="00B674AA"/>
    <w:rsid w:val="00B70AFA"/>
    <w:rsid w:val="00B7284F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2BF3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3BF1"/>
    <w:rsid w:val="00D67EFF"/>
    <w:rsid w:val="00D7139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47FB6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B6159"/>
    <w:rsid w:val="001C240E"/>
    <w:rsid w:val="001E5171"/>
    <w:rsid w:val="00207B56"/>
    <w:rsid w:val="002C2A61"/>
    <w:rsid w:val="00335F5D"/>
    <w:rsid w:val="0035423D"/>
    <w:rsid w:val="003F72F7"/>
    <w:rsid w:val="00452AD1"/>
    <w:rsid w:val="0049450B"/>
    <w:rsid w:val="004B2AD2"/>
    <w:rsid w:val="004D4CD9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93C52"/>
    <w:rsid w:val="006A1958"/>
    <w:rsid w:val="007A34D3"/>
    <w:rsid w:val="007A675F"/>
    <w:rsid w:val="00822809"/>
    <w:rsid w:val="00850E07"/>
    <w:rsid w:val="00864261"/>
    <w:rsid w:val="00874A2C"/>
    <w:rsid w:val="00883C97"/>
    <w:rsid w:val="008B7D48"/>
    <w:rsid w:val="009B09D6"/>
    <w:rsid w:val="009E09B0"/>
    <w:rsid w:val="009F3EFF"/>
    <w:rsid w:val="00A17938"/>
    <w:rsid w:val="00A52B47"/>
    <w:rsid w:val="00A624B1"/>
    <w:rsid w:val="00A84106"/>
    <w:rsid w:val="00A87716"/>
    <w:rsid w:val="00B11CEE"/>
    <w:rsid w:val="00B37442"/>
    <w:rsid w:val="00B54F27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72198"/>
    <w:rsid w:val="00F92BC8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36EED4-CF7D-45FA-A449-E166F984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11</TotalTime>
  <Pages>7</Pages>
  <Words>648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4205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7</cp:revision>
  <cp:lastPrinted>2007-11-14T03:04:00Z</cp:lastPrinted>
  <dcterms:created xsi:type="dcterms:W3CDTF">2021-09-29T00:37:00Z</dcterms:created>
  <dcterms:modified xsi:type="dcterms:W3CDTF">2021-09-30T15:42:00Z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