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A42030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CEEFBC7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9440FA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B00F4F" w:rsidRPr="00850C2A" w:rsidRDefault="00DC6746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25762792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_Toc257627929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Criterios de Evaluación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de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_Toc257627933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Planificación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_Toc257627934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50C2A">
              <w:rPr>
                <w:rStyle w:val="Hipervnculo"/>
                <w:rFonts w:eastAsia="DejaVu Sans" w:cstheme="minorHAnsi"/>
                <w:noProof/>
                <w:color w:val="auto"/>
              </w:rPr>
              <w:t>Casos de Uso y Escenarios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_Toc257627935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Recursos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_Toc257627936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Evaluación [Fecha]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_Toc257627937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_Toc257627938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Objetivos No Alcanzados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_Toc257627939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Elementos incluidos en la Línea Base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_Toc257627940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Conclusión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_Toc257627941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00F4F" w:rsidRPr="00850C2A" w:rsidRDefault="009440FA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50C2A">
              <w:rPr>
                <w:rStyle w:val="Hipervnculo"/>
                <w:rFonts w:cstheme="minorHAnsi"/>
                <w:noProof/>
                <w:color w:val="auto"/>
              </w:rPr>
              <w:t>Estado del repositorio</w:t>
            </w:r>
            <w:r w:rsidR="00B00F4F" w:rsidRPr="00850C2A">
              <w:rPr>
                <w:rFonts w:cstheme="minorHAnsi"/>
                <w:noProof/>
                <w:webHidden/>
              </w:rPr>
              <w:tab/>
            </w:r>
            <w:r w:rsidR="00B00F4F" w:rsidRPr="00850C2A">
              <w:rPr>
                <w:rFonts w:cstheme="minorHAnsi"/>
                <w:noProof/>
                <w:webHidden/>
              </w:rPr>
              <w:fldChar w:fldCharType="begin"/>
            </w:r>
            <w:r w:rsidR="00B00F4F" w:rsidRPr="00850C2A">
              <w:rPr>
                <w:rFonts w:cstheme="minorHAnsi"/>
                <w:noProof/>
                <w:webHidden/>
              </w:rPr>
              <w:instrText xml:space="preserve"> PAGEREF _Toc257627942 \h </w:instrText>
            </w:r>
            <w:r w:rsidR="00B00F4F" w:rsidRPr="00850C2A">
              <w:rPr>
                <w:rFonts w:cstheme="minorHAnsi"/>
                <w:noProof/>
                <w:webHidden/>
              </w:rPr>
            </w:r>
            <w:r w:rsidR="00B00F4F" w:rsidRPr="00850C2A">
              <w:rPr>
                <w:rFonts w:cstheme="minorHAnsi"/>
                <w:noProof/>
                <w:webHidden/>
              </w:rPr>
              <w:fldChar w:fldCharType="separate"/>
            </w:r>
            <w:r w:rsidR="005E56DD">
              <w:rPr>
                <w:rFonts w:cstheme="minorHAnsi"/>
                <w:noProof/>
                <w:webHidden/>
              </w:rPr>
              <w:t>3</w:t>
            </w:r>
            <w:r w:rsidR="00B00F4F" w:rsidRPr="00850C2A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25762792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2792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EF7C69">
      <w:pPr>
        <w:pStyle w:val="PSI-Normal"/>
        <w:rPr>
          <w:rFonts w:cstheme="minorHAnsi"/>
          <w:u w:val="single"/>
        </w:rPr>
      </w:pP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2793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2129C9">
      <w:pPr>
        <w:pStyle w:val="PSI-Normal"/>
        <w:ind w:left="0" w:firstLine="0"/>
        <w:rPr>
          <w:rFonts w:cstheme="minorHAnsi"/>
        </w:rPr>
      </w:pPr>
    </w:p>
    <w:p w:rsidR="00DD1DA2" w:rsidRPr="00850C2A" w:rsidRDefault="002129C9" w:rsidP="00850C2A">
      <w:pPr>
        <w:pStyle w:val="PSI-Ttulo1"/>
      </w:pPr>
      <w:bookmarkStart w:id="3" w:name="_Toc257627931"/>
      <w:r w:rsidRPr="00850C2A">
        <w:lastRenderedPageBreak/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25762793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4802AE" w:rsidRPr="004802AE" w:rsidRDefault="004802AE" w:rsidP="004802A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4802AE">
        <w:rPr>
          <w:color w:val="auto"/>
          <w:sz w:val="22"/>
          <w:szCs w:val="22"/>
          <w:lang w:val="es-AR"/>
        </w:rPr>
        <w:t>Generar documento a partir del cálculo realizado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</w:t>
      </w:r>
      <w:r w:rsidR="003B4793">
        <w:rPr>
          <w:color w:val="auto"/>
          <w:sz w:val="22"/>
          <w:szCs w:val="22"/>
          <w:lang w:val="es-AR"/>
        </w:rPr>
        <w:t>r</w:t>
      </w:r>
      <w:r w:rsidRPr="00374F60">
        <w:rPr>
          <w:color w:val="auto"/>
          <w:sz w:val="22"/>
          <w:szCs w:val="22"/>
          <w:lang w:val="es-AR"/>
        </w:rPr>
        <w:t xml:space="preserve"> la completitud del documento en función de las estimaciones de casos de uso.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2793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25762793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E76732" w:rsidP="00E7673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10</w:t>
            </w:r>
            <w:r w:rsidR="009D1C06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0D7D23" w:rsidRPr="00850C2A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F7254A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Reunión de Grupo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F7254A" w:rsidRPr="00850C2A" w:rsidTr="00F7254A">
        <w:trPr>
          <w:trHeight w:val="784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Documento Resumen Reunión de grupo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0B0491" w:rsidRDefault="000B0491" w:rsidP="000B049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B0491">
              <w:rPr>
                <w:rFonts w:cstheme="minorHAnsi"/>
                <w:color w:val="auto"/>
                <w:lang w:val="es-ES"/>
              </w:rPr>
              <w:t>Documento Plan de Calidad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D222B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01-10-17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06-10-17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lastRenderedPageBreak/>
              <w:t>Estimación Casos de Uso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01-09-17</w:t>
            </w:r>
          </w:p>
        </w:tc>
        <w:tc>
          <w:tcPr>
            <w:tcW w:w="1274" w:type="dxa"/>
          </w:tcPr>
          <w:p w:rsidR="009C78ED" w:rsidRPr="00850C2A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  <w:tc>
          <w:tcPr>
            <w:tcW w:w="1274" w:type="dxa"/>
          </w:tcPr>
          <w:p w:rsidR="009C78ED" w:rsidRPr="00850C2A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9C78ED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E76732" w:rsidP="00E76732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06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>
              <w:rPr>
                <w:rFonts w:cstheme="minorHAnsi"/>
                <w:b/>
                <w:color w:val="auto"/>
              </w:rPr>
              <w:t>10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1A69E2" w:rsidRDefault="00E76732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F70F4F" w:rsidRPr="00850C2A" w:rsidRDefault="00F70F4F" w:rsidP="003746F9">
      <w:pPr>
        <w:pStyle w:val="PSI-Normal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850C2A">
      <w:pPr>
        <w:pStyle w:val="PSI-Ttulo1"/>
        <w:rPr>
          <w:rFonts w:eastAsia="DejaVu Sans"/>
        </w:rPr>
      </w:pPr>
      <w:bookmarkStart w:id="8" w:name="_Toc257627935"/>
      <w:r w:rsidRPr="00850C2A">
        <w:rPr>
          <w:rFonts w:eastAsia="DejaVu Sans"/>
        </w:rPr>
        <w:t>Casos de Uso y Escenarios</w:t>
      </w:r>
      <w:bookmarkEnd w:id="7"/>
      <w:bookmarkEnd w:id="8"/>
    </w:p>
    <w:p w:rsidR="00D56851" w:rsidRDefault="00D56851" w:rsidP="00D56851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bookmarkStart w:id="9" w:name="_Toc257627936"/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Editar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Asignar encargado a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Deshabilitar servicio</w:t>
      </w:r>
    </w:p>
    <w:p w:rsidR="00D56851" w:rsidRDefault="00D56851" w:rsidP="00D56851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ABM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Editar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opciones 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Habilitar en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descripción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Registrar email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Agregar fotografía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Indicar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Escanear código QR</w:t>
      </w:r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 xml:space="preserve">Escenario ABM Ubicación 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Añadir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Modificar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Eliminar Ubicación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Atender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Atiende valoración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 devolución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lastRenderedPageBreak/>
        <w:t>Login</w:t>
      </w:r>
      <w:proofErr w:type="spellEnd"/>
    </w:p>
    <w:p w:rsidR="00D56851" w:rsidRDefault="00D56851" w:rsidP="00D56851">
      <w:pPr>
        <w:rPr>
          <w:lang w:eastAsia="es-AR"/>
        </w:rPr>
      </w:pPr>
      <w:r>
        <w:rPr>
          <w:lang w:eastAsia="es-AR"/>
        </w:rPr>
        <w:t>Escenario Generar Estadísticas</w:t>
      </w:r>
    </w:p>
    <w:p w:rsidR="00D56851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Genera estadística</w:t>
      </w:r>
    </w:p>
    <w:p w:rsidR="00D56851" w:rsidRPr="006F5124" w:rsidRDefault="00D56851" w:rsidP="00D56851">
      <w:pPr>
        <w:pStyle w:val="Prrafodelista"/>
        <w:numPr>
          <w:ilvl w:val="0"/>
          <w:numId w:val="17"/>
        </w:numPr>
        <w:rPr>
          <w:lang w:eastAsia="es-AR"/>
        </w:rPr>
      </w:pPr>
      <w:proofErr w:type="spellStart"/>
      <w:r>
        <w:rPr>
          <w:lang w:eastAsia="es-AR"/>
        </w:rPr>
        <w:t>Login</w:t>
      </w:r>
      <w:proofErr w:type="spellEnd"/>
    </w:p>
    <w:p w:rsidR="00E511E0" w:rsidRPr="00850C2A" w:rsidRDefault="00E511E0" w:rsidP="00850C2A">
      <w:pPr>
        <w:pStyle w:val="PSI-Ttulo1"/>
      </w:pPr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850C2A">
      <w:pPr>
        <w:pStyle w:val="PSI-Ttulo1"/>
      </w:pPr>
    </w:p>
    <w:p w:rsidR="00DD1DA2" w:rsidRPr="00850C2A" w:rsidRDefault="00DD1DA2" w:rsidP="00850C2A">
      <w:pPr>
        <w:pStyle w:val="PSI-Ttulo1"/>
      </w:pPr>
      <w:bookmarkStart w:id="10" w:name="_Toc257627937"/>
      <w:r w:rsidRPr="00850C2A">
        <w:t>Evaluación</w:t>
      </w:r>
      <w:r w:rsidR="00E511E0" w:rsidRPr="00850C2A">
        <w:t xml:space="preserve"> </w:t>
      </w:r>
      <w:bookmarkEnd w:id="10"/>
      <w:r w:rsidR="00E76732">
        <w:t>20</w:t>
      </w:r>
      <w:r w:rsidR="007C24E5">
        <w:t>-</w:t>
      </w:r>
      <w:r w:rsidR="004F1F08">
        <w:t>1</w:t>
      </w:r>
      <w:r w:rsidR="007C24E5">
        <w:t>0-17</w:t>
      </w:r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25762793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231E2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231E2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bookmarkStart w:id="12" w:name="_Toc257627939"/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Se logró el modelo de datos al determinando las entidades y relaciones presentes en el problema y que permiten describir lógica y conceptualmente la base de datos externa.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La reunión realizada giro en torno a la muestra de avances de cada integrante y al análisis conjunto de aquellas actividades planificadas para el desarrollo conjunto.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 xml:space="preserve">Se concluyó el plan de pruebas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Quedo terminada la estimación por casos de uso, determinando tamaño, duración y costo del proyecto.</w:t>
      </w:r>
    </w:p>
    <w:p w:rsidR="007231E2" w:rsidRP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Negocio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B0795A" w:rsidRDefault="00F36A01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No fue posible gestionar los riesgos</w:t>
      </w:r>
    </w:p>
    <w:p w:rsidR="00DD1DA2" w:rsidRPr="00850C2A" w:rsidRDefault="00DD1DA2" w:rsidP="00850C2A">
      <w:pPr>
        <w:pStyle w:val="PSI-Ttulo1"/>
      </w:pPr>
      <w:bookmarkStart w:id="13" w:name="_Toc257627941"/>
      <w:r w:rsidRPr="00850C2A">
        <w:lastRenderedPageBreak/>
        <w:t>Conclusión</w:t>
      </w:r>
      <w:bookmarkEnd w:id="13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8F1A79" w:rsidRDefault="002E3EA3" w:rsidP="00AB6BE1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Culminada esta </w:t>
      </w:r>
      <w:r w:rsidR="00AB6BE1" w:rsidRPr="008F1A79">
        <w:rPr>
          <w:lang w:val="es-AR"/>
        </w:rPr>
        <w:t>iteración</w:t>
      </w:r>
      <w:r w:rsidRPr="008F1A79">
        <w:rPr>
          <w:lang w:val="es-AR"/>
        </w:rPr>
        <w:t xml:space="preserve"> es considerable el avance </w:t>
      </w:r>
      <w:r w:rsidR="00AB6BE1" w:rsidRPr="008F1A79">
        <w:rPr>
          <w:lang w:val="es-AR"/>
        </w:rPr>
        <w:t>alcanzado</w:t>
      </w:r>
      <w:r w:rsidRPr="008F1A79">
        <w:rPr>
          <w:lang w:val="es-AR"/>
        </w:rPr>
        <w:t xml:space="preserve">, aunque </w:t>
      </w:r>
      <w:r w:rsidR="00D54A48" w:rsidRPr="008F1A79">
        <w:rPr>
          <w:lang w:val="es-AR"/>
        </w:rPr>
        <w:t>no fue posible evaluar los riesgos, por el tiempo demandado en el resto de la documentación.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De acuerdo al estado de completitud de esta iteración </w:t>
      </w:r>
      <w:r w:rsidR="00D54A48" w:rsidRPr="008F1A79">
        <w:rPr>
          <w:lang w:val="es-AR"/>
        </w:rPr>
        <w:t xml:space="preserve">consideramos que estamos en condición de pasar a la siguiente fase, dado que el no haber evaluado los riesgos propuestos solo puede significar que los riesgos no impactaron como pensábamos o que están latentes, en cualquier </w:t>
      </w:r>
      <w:proofErr w:type="gramStart"/>
      <w:r w:rsidR="00D54A48" w:rsidRPr="008F1A79">
        <w:rPr>
          <w:lang w:val="es-AR"/>
        </w:rPr>
        <w:t>caso</w:t>
      </w:r>
      <w:proofErr w:type="gramEnd"/>
      <w:r w:rsidR="00D54A48" w:rsidRPr="008F1A79">
        <w:rPr>
          <w:lang w:val="es-AR"/>
        </w:rPr>
        <w:t xml:space="preserve"> se reevaluaran riesgos en la fase siguiente</w:t>
      </w:r>
      <w:r w:rsidRPr="008F1A79">
        <w:rPr>
          <w:lang w:val="es-AR"/>
        </w:rPr>
        <w:t>.</w:t>
      </w:r>
      <w:r>
        <w:rPr>
          <w:lang w:val="es-AR"/>
        </w:rPr>
        <w:t xml:space="preserve"> </w:t>
      </w:r>
    </w:p>
    <w:p w:rsidR="0055186B" w:rsidRDefault="0055186B" w:rsidP="0055186B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4" w:name="_Toc238197620"/>
      <w:bookmarkStart w:id="15" w:name="_Toc257627942"/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4"/>
      <w:bookmarkEnd w:id="15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404D2" w:rsidRPr="003404D2">
        <w:rPr>
          <w:rFonts w:cstheme="minorHAnsi"/>
          <w:b/>
          <w:color w:val="auto"/>
        </w:rPr>
        <w:t>1</w:t>
      </w:r>
      <w:r w:rsidRPr="002D3EE5">
        <w:rPr>
          <w:rFonts w:cstheme="minorHAnsi"/>
          <w:b/>
          <w:color w:val="auto"/>
        </w:rPr>
        <w:t>0</w:t>
      </w:r>
      <w:r w:rsidR="003404D2">
        <w:rPr>
          <w:rFonts w:cstheme="minorHAnsi"/>
          <w:b/>
          <w:color w:val="auto"/>
        </w:rPr>
        <w:t>8</w:t>
      </w:r>
      <w:bookmarkStart w:id="16" w:name="_GoBack"/>
      <w:bookmarkEnd w:id="16"/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F08">
        <w:rPr>
          <w:rFonts w:cstheme="minorHAnsi"/>
          <w:b/>
          <w:color w:val="auto"/>
        </w:rPr>
        <w:t>119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FA" w:rsidRDefault="009440FA" w:rsidP="00C94FBE">
      <w:pPr>
        <w:spacing w:before="0" w:line="240" w:lineRule="auto"/>
      </w:pPr>
      <w:r>
        <w:separator/>
      </w:r>
    </w:p>
    <w:p w:rsidR="009440FA" w:rsidRDefault="009440FA"/>
  </w:endnote>
  <w:endnote w:type="continuationSeparator" w:id="0">
    <w:p w:rsidR="009440FA" w:rsidRDefault="009440FA" w:rsidP="00C94FBE">
      <w:pPr>
        <w:spacing w:before="0" w:line="240" w:lineRule="auto"/>
      </w:pPr>
      <w:r>
        <w:continuationSeparator/>
      </w:r>
    </w:p>
    <w:p w:rsidR="009440FA" w:rsidRDefault="00944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FA" w:rsidRDefault="009440FA" w:rsidP="00C94FBE">
      <w:pPr>
        <w:spacing w:before="0" w:line="240" w:lineRule="auto"/>
      </w:pPr>
      <w:r>
        <w:separator/>
      </w:r>
    </w:p>
    <w:p w:rsidR="009440FA" w:rsidRDefault="009440FA"/>
  </w:footnote>
  <w:footnote w:type="continuationSeparator" w:id="0">
    <w:p w:rsidR="009440FA" w:rsidRDefault="009440FA" w:rsidP="00C94FBE">
      <w:pPr>
        <w:spacing w:before="0" w:line="240" w:lineRule="auto"/>
      </w:pPr>
      <w:r>
        <w:continuationSeparator/>
      </w:r>
    </w:p>
    <w:p w:rsidR="009440FA" w:rsidRDefault="009440F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C4C42"/>
    <w:rsid w:val="000C4E31"/>
    <w:rsid w:val="000D4C6E"/>
    <w:rsid w:val="000D4FF8"/>
    <w:rsid w:val="000D7D23"/>
    <w:rsid w:val="000F1888"/>
    <w:rsid w:val="000F4F97"/>
    <w:rsid w:val="000F5D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34C39"/>
    <w:rsid w:val="003404D2"/>
    <w:rsid w:val="00344258"/>
    <w:rsid w:val="00346864"/>
    <w:rsid w:val="00350E39"/>
    <w:rsid w:val="003560F2"/>
    <w:rsid w:val="00363FD1"/>
    <w:rsid w:val="003746F9"/>
    <w:rsid w:val="00374F60"/>
    <w:rsid w:val="00397566"/>
    <w:rsid w:val="003B4793"/>
    <w:rsid w:val="003B7F1F"/>
    <w:rsid w:val="003C54B1"/>
    <w:rsid w:val="003E12FE"/>
    <w:rsid w:val="0040066E"/>
    <w:rsid w:val="00416240"/>
    <w:rsid w:val="004525FF"/>
    <w:rsid w:val="004802AE"/>
    <w:rsid w:val="004807AF"/>
    <w:rsid w:val="0049000B"/>
    <w:rsid w:val="004A54C8"/>
    <w:rsid w:val="004C5D7E"/>
    <w:rsid w:val="004D45CD"/>
    <w:rsid w:val="004D5185"/>
    <w:rsid w:val="004E3B8C"/>
    <w:rsid w:val="004E4935"/>
    <w:rsid w:val="004F1F08"/>
    <w:rsid w:val="004F4D25"/>
    <w:rsid w:val="005017FA"/>
    <w:rsid w:val="005046A5"/>
    <w:rsid w:val="00504A67"/>
    <w:rsid w:val="005065CC"/>
    <w:rsid w:val="00511D9A"/>
    <w:rsid w:val="00515617"/>
    <w:rsid w:val="005247CE"/>
    <w:rsid w:val="0055186B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A6F59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1E2"/>
    <w:rsid w:val="00723926"/>
    <w:rsid w:val="0073726B"/>
    <w:rsid w:val="00740712"/>
    <w:rsid w:val="007447BE"/>
    <w:rsid w:val="007608DB"/>
    <w:rsid w:val="0077792A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8F1A79"/>
    <w:rsid w:val="00904CB6"/>
    <w:rsid w:val="0092483A"/>
    <w:rsid w:val="00942049"/>
    <w:rsid w:val="009440FA"/>
    <w:rsid w:val="00944A73"/>
    <w:rsid w:val="00950B75"/>
    <w:rsid w:val="00955D63"/>
    <w:rsid w:val="0096683E"/>
    <w:rsid w:val="009712B0"/>
    <w:rsid w:val="009A3173"/>
    <w:rsid w:val="009A3DB5"/>
    <w:rsid w:val="009B4507"/>
    <w:rsid w:val="009C78ED"/>
    <w:rsid w:val="009D1C06"/>
    <w:rsid w:val="009E25D0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2030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116"/>
    <w:rsid w:val="00D06E99"/>
    <w:rsid w:val="00D11604"/>
    <w:rsid w:val="00D15FB2"/>
    <w:rsid w:val="00D222BE"/>
    <w:rsid w:val="00D255E1"/>
    <w:rsid w:val="00D54A48"/>
    <w:rsid w:val="00D56851"/>
    <w:rsid w:val="00D649B2"/>
    <w:rsid w:val="00D672B5"/>
    <w:rsid w:val="00D70C0C"/>
    <w:rsid w:val="00D80E83"/>
    <w:rsid w:val="00D82A50"/>
    <w:rsid w:val="00DA284A"/>
    <w:rsid w:val="00DA46C9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6732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5B6E"/>
    <w:rsid w:val="00F36808"/>
    <w:rsid w:val="00F36A01"/>
    <w:rsid w:val="00F438B1"/>
    <w:rsid w:val="00F45D1E"/>
    <w:rsid w:val="00F53D96"/>
    <w:rsid w:val="00F54DA6"/>
    <w:rsid w:val="00F6748E"/>
    <w:rsid w:val="00F70F4F"/>
    <w:rsid w:val="00F7254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2313C43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C87E88-57FA-4A59-BDB5-051127DA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</Template>
  <TotalTime>379</TotalTime>
  <Pages>8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52</cp:revision>
  <dcterms:created xsi:type="dcterms:W3CDTF">2017-09-10T17:02:00Z</dcterms:created>
  <dcterms:modified xsi:type="dcterms:W3CDTF">2017-11-16T14:20:00Z</dcterms:modified>
  <cp:category>Fase de Elaboración, Iteración 2</cp:category>
</cp:coreProperties>
</file>