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857A0D">
                <w:rPr>
                  <w:rFonts w:eastAsiaTheme="majorEastAsia" w:cstheme="minorHAns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24E355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A37F0D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023D9B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6518" w:history="1">
            <w:r w:rsidR="00023D9B" w:rsidRPr="009439A0">
              <w:rPr>
                <w:rStyle w:val="Hipervnculo"/>
                <w:noProof/>
              </w:rPr>
              <w:t>Introducción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19" w:history="1">
            <w:r w:rsidR="00023D9B" w:rsidRPr="009439A0">
              <w:rPr>
                <w:rStyle w:val="Hipervnculo"/>
                <w:rFonts w:cstheme="minorHAnsi"/>
                <w:noProof/>
              </w:rPr>
              <w:t>Propósito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_Toc498596519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0" w:history="1">
            <w:r w:rsidR="00023D9B" w:rsidRPr="009439A0">
              <w:rPr>
                <w:rStyle w:val="Hipervnculo"/>
                <w:rFonts w:cstheme="minorHAnsi"/>
                <w:noProof/>
              </w:rPr>
              <w:t>Referencias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4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1" w:history="1">
            <w:r w:rsidR="00023D9B" w:rsidRPr="009439A0">
              <w:rPr>
                <w:rStyle w:val="Hipervnculo"/>
                <w:noProof/>
              </w:rPr>
              <w:t>Objetivos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2" w:history="1">
            <w:r w:rsidR="00023D9B" w:rsidRPr="009439A0">
              <w:rPr>
                <w:rStyle w:val="Hipervnculo"/>
                <w:rFonts w:cstheme="minorHAnsi"/>
                <w:noProof/>
              </w:rPr>
              <w:t>Criterios de Evaluación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3" w:history="1">
            <w:r w:rsidR="00023D9B" w:rsidRPr="009439A0">
              <w:rPr>
                <w:rStyle w:val="Hipervnculo"/>
                <w:rFonts w:cstheme="minorHAnsi"/>
                <w:noProof/>
              </w:rPr>
              <w:t>Elementos de la Línea Base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4" w:history="1">
            <w:r w:rsidR="00023D9B" w:rsidRPr="009439A0">
              <w:rPr>
                <w:rStyle w:val="Hipervnculo"/>
                <w:noProof/>
              </w:rPr>
              <w:t>Planificación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5" w:history="1">
            <w:r w:rsidR="00023D9B" w:rsidRPr="009439A0">
              <w:rPr>
                <w:rStyle w:val="Hipervnculo"/>
                <w:rFonts w:eastAsia="DejaVu Sans"/>
                <w:noProof/>
              </w:rPr>
              <w:t>Casos de Uso y Escenarios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5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6" w:history="1">
            <w:r w:rsidR="00023D9B" w:rsidRPr="009439A0">
              <w:rPr>
                <w:rStyle w:val="Hipervnculo"/>
                <w:noProof/>
              </w:rPr>
              <w:t>Recursos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_Toc498596526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6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27" w:history="1">
            <w:r w:rsidR="00023D9B" w:rsidRPr="009439A0">
              <w:rPr>
                <w:rStyle w:val="Hipervnculo"/>
                <w:noProof/>
              </w:rPr>
              <w:t>Evaluación 14-11-17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_Toc498596527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8" w:history="1">
            <w:r w:rsidR="00023D9B" w:rsidRPr="009439A0">
              <w:rPr>
                <w:rStyle w:val="Hipervnculo"/>
                <w:rFonts w:cstheme="minorHAnsi"/>
                <w:noProof/>
              </w:rPr>
              <w:t>Objetivos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_Toc498596528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29" w:history="1">
            <w:r w:rsidR="00023D9B" w:rsidRPr="009439A0">
              <w:rPr>
                <w:rStyle w:val="Hipervnculo"/>
                <w:rFonts w:cstheme="minorHAnsi"/>
                <w:noProof/>
              </w:rPr>
              <w:t>Objetivos No Alcanzados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_Toc498596529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0" w:history="1">
            <w:r w:rsidR="00023D9B" w:rsidRPr="009439A0">
              <w:rPr>
                <w:rStyle w:val="Hipervnculo"/>
                <w:noProof/>
              </w:rPr>
              <w:t>Conclusión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_Toc498596530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1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_Toc498596531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2" w:history="1">
            <w:r w:rsidR="00023D9B" w:rsidRPr="009439A0">
              <w:rPr>
                <w:rStyle w:val="Hipervnculo"/>
                <w:noProof/>
              </w:rPr>
              <w:t>Cronograma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_Toc498596532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7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3" w:history="1">
            <w:r w:rsidR="00023D9B" w:rsidRPr="009439A0">
              <w:rPr>
                <w:rStyle w:val="Hipervnculo"/>
                <w:noProof/>
              </w:rPr>
              <w:t>Evaluación  Extensión 17-11-17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_Toc498596533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6534" w:history="1">
            <w:r w:rsidR="00023D9B" w:rsidRPr="009439A0">
              <w:rPr>
                <w:rStyle w:val="Hipervnculo"/>
                <w:noProof/>
              </w:rPr>
              <w:t>Conclusión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_Toc498596534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23D9B" w:rsidRDefault="00A37F0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6535" w:history="1">
            <w:r w:rsidR="00023D9B" w:rsidRPr="009439A0">
              <w:rPr>
                <w:rStyle w:val="Hipervnculo"/>
                <w:rFonts w:cstheme="minorHAnsi"/>
                <w:noProof/>
              </w:rPr>
              <w:t>Estado del repositorio extensión</w:t>
            </w:r>
            <w:r w:rsidR="00023D9B">
              <w:rPr>
                <w:noProof/>
                <w:webHidden/>
              </w:rPr>
              <w:tab/>
            </w:r>
            <w:r w:rsidR="00023D9B">
              <w:rPr>
                <w:noProof/>
                <w:webHidden/>
              </w:rPr>
              <w:fldChar w:fldCharType="begin"/>
            </w:r>
            <w:r w:rsidR="00023D9B">
              <w:rPr>
                <w:noProof/>
                <w:webHidden/>
              </w:rPr>
              <w:instrText xml:space="preserve"> PAGEREF _Toc498596535 \h </w:instrText>
            </w:r>
            <w:r w:rsidR="00023D9B">
              <w:rPr>
                <w:noProof/>
                <w:webHidden/>
              </w:rPr>
            </w:r>
            <w:r w:rsidR="00023D9B">
              <w:rPr>
                <w:noProof/>
                <w:webHidden/>
              </w:rPr>
              <w:fldChar w:fldCharType="separate"/>
            </w:r>
            <w:r w:rsidR="00023D9B">
              <w:rPr>
                <w:noProof/>
                <w:webHidden/>
              </w:rPr>
              <w:t>8</w:t>
            </w:r>
            <w:r w:rsidR="00023D9B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4E40E0">
      <w:pPr>
        <w:pStyle w:val="PSI-Ttulo1"/>
      </w:pPr>
      <w:bookmarkStart w:id="0" w:name="_Toc49859651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651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652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DD1DA2" w:rsidRPr="00850C2A" w:rsidRDefault="002129C9" w:rsidP="004E40E0">
      <w:pPr>
        <w:pStyle w:val="PSI-Ttulo1"/>
      </w:pPr>
      <w:bookmarkStart w:id="3" w:name="_Toc498596521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652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Implementación de Casos de Uso Prioritarios</w:t>
      </w:r>
    </w:p>
    <w:p w:rsidR="009E0635" w:rsidRDefault="009E0635" w:rsidP="009E063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“Asignar Encargado a Servicio” (CU N°03).</w:t>
      </w:r>
    </w:p>
    <w:p w:rsidR="00F7261A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“Editar Servicio” (CU N°04).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“Deshabilitar Servicio” (CU N°05).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“Añadir Opciones de Valoración” (CU N°06).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“Habilitar en Sector” (CU N°07).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“Añadir Ubicación” (CU N°10).</w:t>
      </w:r>
    </w:p>
    <w:p w:rsidR="009E0635" w:rsidRDefault="009E0635" w:rsidP="009E063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“Realizar Valoración” (CU N°15).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“Indicar Ubicación” (CU N°16).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“Escanear Código QR (CU N°17).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Descripción” (CU N°18).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Fotografía” (CU N°19).</w:t>
      </w:r>
    </w:p>
    <w:p w:rsidR="009E0635" w:rsidRDefault="009E0635" w:rsidP="00883A6B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Email” (CU N°20).</w:t>
      </w:r>
    </w:p>
    <w:p w:rsidR="009E0635" w:rsidRDefault="009E0635" w:rsidP="009E063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Caso de uso “Agregar Servicio” (CU N°22).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0537BD" w:rsidRPr="000537BD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>Plan de prueba y realizar las pruebas de los casos de uso prioritarios</w:t>
      </w:r>
      <w:r w:rsidR="003901C8">
        <w:rPr>
          <w:color w:val="auto"/>
          <w:sz w:val="22"/>
          <w:szCs w:val="22"/>
          <w:lang w:val="es-AR"/>
        </w:rPr>
        <w:t>.</w:t>
      </w:r>
    </w:p>
    <w:p w:rsidR="00883A6B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3901C8" w:rsidRPr="003901C8" w:rsidRDefault="003901C8" w:rsidP="003901C8">
      <w:pPr>
        <w:pStyle w:val="Default"/>
        <w:numPr>
          <w:ilvl w:val="0"/>
          <w:numId w:val="25"/>
        </w:numPr>
        <w:rPr>
          <w:color w:val="auto"/>
          <w:sz w:val="22"/>
          <w:szCs w:val="22"/>
          <w:lang w:val="es-AR"/>
        </w:rPr>
      </w:pPr>
      <w:r w:rsidRPr="003901C8">
        <w:rPr>
          <w:color w:val="auto"/>
          <w:sz w:val="22"/>
          <w:szCs w:val="22"/>
          <w:lang w:val="es-AR"/>
        </w:rPr>
        <w:t>Realizar la evaluación de los riesgos descubiertos.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652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4E40E0">
      <w:pPr>
        <w:pStyle w:val="PSI-Ttulo1"/>
      </w:pPr>
      <w:bookmarkStart w:id="6" w:name="_Toc49859652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5345DB" w:rsidP="002B2E6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 w:rsidR="002B2E69"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Default="008B2B1A" w:rsidP="002B2E6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5345DB">
              <w:rPr>
                <w:rFonts w:cstheme="minorHAnsi"/>
                <w:color w:val="auto"/>
              </w:rPr>
              <w:t>5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2B2E69"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5345DB" w:rsidP="002B2E6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 w:rsidR="008B2B1A">
              <w:rPr>
                <w:rFonts w:cstheme="minorHAnsi"/>
                <w:color w:val="auto"/>
                <w:lang w:val="es-ES"/>
              </w:rPr>
              <w:t>1</w:t>
            </w:r>
            <w:r w:rsidR="002B2E69">
              <w:rPr>
                <w:rFonts w:cstheme="minorHAnsi"/>
                <w:color w:val="auto"/>
                <w:lang w:val="es-ES"/>
              </w:rPr>
              <w:t>1</w:t>
            </w:r>
            <w:r w:rsidR="009D1C06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9C78ED" w:rsidRDefault="005345DB" w:rsidP="002B2E6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</w:t>
            </w:r>
            <w:bookmarkStart w:id="7" w:name="_GoBack"/>
            <w:bookmarkEnd w:id="7"/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 w:rsidR="002B2E69"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B70BBB" w:rsidP="00B70BBB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Implementación caso de uso prioritario</w:t>
            </w:r>
          </w:p>
        </w:tc>
        <w:tc>
          <w:tcPr>
            <w:tcW w:w="1276" w:type="dxa"/>
          </w:tcPr>
          <w:p w:rsidR="000D7D23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2B2E69" w:rsidP="002B2E6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B2E69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0D7D23" w:rsidRDefault="00A86F3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2B2E69" w:rsidP="002B2E6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2B2E69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9D1C06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355B16">
              <w:rPr>
                <w:rFonts w:cstheme="minorHAnsi"/>
                <w:color w:val="auto"/>
                <w:lang w:val="es-ES"/>
              </w:rPr>
              <w:t xml:space="preserve"> y sus casos</w:t>
            </w:r>
          </w:p>
        </w:tc>
        <w:tc>
          <w:tcPr>
            <w:tcW w:w="1276" w:type="dxa"/>
          </w:tcPr>
          <w:p w:rsidR="009C78ED" w:rsidRDefault="002F531C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2B2E69" w:rsidP="002B2E6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04</w:t>
            </w:r>
            <w:r w:rsidR="00D222BE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2B2E69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07</w:t>
            </w:r>
            <w:r w:rsidR="00D222BE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 w:rsidR="00D222BE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C51471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C51471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C51471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857A0D" w:rsidP="002B2E69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</w:t>
            </w:r>
            <w:r w:rsidR="002B2E69">
              <w:rPr>
                <w:rFonts w:cstheme="minorHAnsi"/>
                <w:b/>
                <w:color w:val="auto"/>
              </w:rPr>
              <w:t>7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 w:rsidR="002F531C"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4E40E0" w:rsidRDefault="004E40E0" w:rsidP="004E40E0">
      <w:pPr>
        <w:pStyle w:val="PSI-Ttulo1"/>
        <w:rPr>
          <w:rFonts w:eastAsia="DejaVu Sans"/>
        </w:rPr>
      </w:pPr>
      <w:bookmarkStart w:id="8" w:name="_Toc238197615"/>
      <w:bookmarkStart w:id="9" w:name="_Toc498596525"/>
    </w:p>
    <w:p w:rsidR="00F70F4F" w:rsidRPr="00850C2A" w:rsidRDefault="00F70F4F" w:rsidP="004E40E0">
      <w:pPr>
        <w:pStyle w:val="PSI-Ttulo1"/>
        <w:rPr>
          <w:rFonts w:eastAsia="DejaVu Sans"/>
        </w:rPr>
      </w:pPr>
      <w:r w:rsidRPr="00850C2A">
        <w:rPr>
          <w:rFonts w:eastAsia="DejaVu Sans"/>
        </w:rPr>
        <w:t>Casos de Uso y Escenarios</w:t>
      </w:r>
      <w:bookmarkEnd w:id="8"/>
      <w:bookmarkEnd w:id="9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Habilitar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lastRenderedPageBreak/>
        <w:t>Login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ABM Valoración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Añadir opciones de valoración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Editar opciones de valoración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Eliminar opciones de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5679D3">
        <w:rPr>
          <w:color w:val="A6A6A6" w:themeColor="background1" w:themeShade="A6"/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 w:rsidRPr="005679D3">
        <w:rPr>
          <w:lang w:eastAsia="es-AR"/>
        </w:rPr>
        <w:t>Registrar email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Modificar Ubicación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5679D3">
        <w:rPr>
          <w:color w:val="A6A6A6" w:themeColor="background1" w:themeShade="A6"/>
          <w:lang w:eastAsia="es-AR"/>
        </w:rPr>
        <w:t>Eliminar Ubicación</w:t>
      </w:r>
    </w:p>
    <w:p w:rsidR="008A6E17" w:rsidRPr="005679D3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proofErr w:type="spellStart"/>
      <w:r w:rsidRPr="005679D3">
        <w:rPr>
          <w:color w:val="A6A6A6" w:themeColor="background1" w:themeShade="A6"/>
          <w:lang w:eastAsia="es-AR"/>
        </w:rPr>
        <w:t>Login</w:t>
      </w:r>
      <w:proofErr w:type="spellEnd"/>
    </w:p>
    <w:p w:rsidR="005679D3" w:rsidRDefault="005679D3" w:rsidP="004E40E0">
      <w:pPr>
        <w:pStyle w:val="PSI-Ttulo1"/>
      </w:pPr>
      <w:bookmarkStart w:id="10" w:name="_Toc498596526"/>
    </w:p>
    <w:p w:rsidR="00E511E0" w:rsidRPr="00850C2A" w:rsidRDefault="00E511E0" w:rsidP="004E40E0">
      <w:pPr>
        <w:pStyle w:val="PSI-Ttulo1"/>
      </w:pPr>
      <w:r w:rsidRPr="00850C2A">
        <w:t>Recursos</w:t>
      </w:r>
      <w:bookmarkEnd w:id="10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4E40E0">
      <w:pPr>
        <w:pStyle w:val="PSI-Ttulo1"/>
      </w:pPr>
    </w:p>
    <w:p w:rsidR="00DD1DA2" w:rsidRPr="00850C2A" w:rsidRDefault="00DD1DA2" w:rsidP="004E40E0">
      <w:pPr>
        <w:pStyle w:val="PSI-Ttulo1"/>
      </w:pPr>
      <w:bookmarkStart w:id="11" w:name="_Toc498596527"/>
      <w:r w:rsidRPr="00850C2A">
        <w:t>Evaluación</w:t>
      </w:r>
      <w:r w:rsidR="00E511E0" w:rsidRPr="00850C2A">
        <w:t xml:space="preserve"> </w:t>
      </w:r>
      <w:r w:rsidR="00857A0D">
        <w:t>1</w:t>
      </w:r>
      <w:r w:rsidR="005679D3">
        <w:t>7</w:t>
      </w:r>
      <w:r w:rsidR="007C24E5">
        <w:t>-</w:t>
      </w:r>
      <w:r w:rsidR="00355B16">
        <w:t>11</w:t>
      </w:r>
      <w:r w:rsidR="007C24E5">
        <w:t>-17</w:t>
      </w:r>
      <w:bookmarkEnd w:id="11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2" w:name="_Toc49859652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2C3410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2C3410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82564F" w:rsidRPr="009C78ED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82564F" w:rsidRPr="009C78ED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82564F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Implementación de Casos de Uso Prioritarios</w:t>
      </w:r>
    </w:p>
    <w:p w:rsidR="0082564F" w:rsidRDefault="0082564F" w:rsidP="0082564F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82564F">
        <w:rPr>
          <w:color w:val="auto"/>
          <w:sz w:val="22"/>
          <w:szCs w:val="22"/>
          <w:lang w:val="es-AR"/>
        </w:rPr>
        <w:t>Se cumplió con la mayoría de los casos de uso presentados, salvando los casos</w:t>
      </w:r>
      <w:r>
        <w:rPr>
          <w:b/>
          <w:color w:val="auto"/>
          <w:sz w:val="22"/>
          <w:szCs w:val="22"/>
          <w:lang w:val="es-AR"/>
        </w:rPr>
        <w:t xml:space="preserve"> </w:t>
      </w:r>
      <w:r>
        <w:rPr>
          <w:color w:val="auto"/>
          <w:sz w:val="22"/>
          <w:szCs w:val="22"/>
          <w:lang w:val="es-AR"/>
        </w:rPr>
        <w:t>“Realizar Valoración” (CU N°15) y “Indicar Ubicación” (CU N°16), que fueron cumplidos parcialmente, el CU15 no permite aun el acceso manual.</w:t>
      </w:r>
    </w:p>
    <w:p w:rsidR="0082564F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Plan de Pruebas y sus casos</w:t>
      </w:r>
    </w:p>
    <w:p w:rsidR="0082564F" w:rsidRPr="000537BD" w:rsidRDefault="0082564F" w:rsidP="0082564F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 w:rsidRPr="000537BD">
        <w:rPr>
          <w:color w:val="auto"/>
          <w:sz w:val="22"/>
          <w:szCs w:val="22"/>
          <w:lang w:val="es-AR"/>
        </w:rPr>
        <w:t>Plan de prueba y realizar las pruebas de los casos de uso prioritarios</w:t>
      </w:r>
      <w:r>
        <w:rPr>
          <w:color w:val="auto"/>
          <w:sz w:val="22"/>
          <w:szCs w:val="22"/>
          <w:lang w:val="es-AR"/>
        </w:rPr>
        <w:t>.</w:t>
      </w:r>
    </w:p>
    <w:p w:rsidR="0082564F" w:rsidRDefault="0082564F" w:rsidP="0082564F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82564F" w:rsidRPr="003901C8" w:rsidRDefault="0082564F" w:rsidP="0082564F">
      <w:pPr>
        <w:pStyle w:val="Default"/>
        <w:numPr>
          <w:ilvl w:val="0"/>
          <w:numId w:val="25"/>
        </w:numPr>
        <w:rPr>
          <w:color w:val="auto"/>
          <w:sz w:val="22"/>
          <w:szCs w:val="22"/>
          <w:lang w:val="es-AR"/>
        </w:rPr>
      </w:pPr>
      <w:r w:rsidRPr="003901C8">
        <w:rPr>
          <w:color w:val="auto"/>
          <w:sz w:val="22"/>
          <w:szCs w:val="22"/>
          <w:lang w:val="es-AR"/>
        </w:rPr>
        <w:t>Realizar la evaluación de los riesgos descubiertos.</w:t>
      </w:r>
    </w:p>
    <w:p w:rsidR="009E0635" w:rsidRPr="00355B16" w:rsidRDefault="009E0635" w:rsidP="007C24E5">
      <w:pPr>
        <w:pStyle w:val="Default"/>
        <w:rPr>
          <w:color w:val="auto"/>
          <w:sz w:val="22"/>
          <w:szCs w:val="22"/>
          <w:highlight w:val="yellow"/>
          <w:lang w:val="es-AR"/>
        </w:rPr>
      </w:pP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859652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BD37F2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BD37F2">
        <w:rPr>
          <w:b/>
          <w:color w:val="auto"/>
          <w:sz w:val="22"/>
          <w:szCs w:val="22"/>
          <w:lang w:val="es-AR"/>
        </w:rPr>
        <w:t>Documento Gestión de Riesgos.</w:t>
      </w:r>
    </w:p>
    <w:p w:rsidR="002D3EE5" w:rsidRPr="00BD37F2" w:rsidRDefault="00BD37F2" w:rsidP="00BD37F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BD37F2">
        <w:rPr>
          <w:b/>
          <w:color w:val="auto"/>
          <w:sz w:val="22"/>
          <w:szCs w:val="22"/>
          <w:lang w:val="es-AR"/>
        </w:rPr>
        <w:t>Implementación parcial de los CU15 y CU16</w:t>
      </w:r>
    </w:p>
    <w:p w:rsidR="005679D3" w:rsidRDefault="005679D3" w:rsidP="004E40E0">
      <w:pPr>
        <w:pStyle w:val="PSI-Ttulo1"/>
      </w:pPr>
      <w:bookmarkStart w:id="14" w:name="_Toc498596530"/>
    </w:p>
    <w:p w:rsidR="00DD1DA2" w:rsidRPr="00850C2A" w:rsidRDefault="00DD1DA2" w:rsidP="004E40E0">
      <w:pPr>
        <w:pStyle w:val="PSI-Ttulo1"/>
      </w:pPr>
      <w:r w:rsidRPr="00850C2A">
        <w:t>Conclusión</w:t>
      </w:r>
      <w:bookmarkEnd w:id="14"/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>aunque nos faltó gestionar el riesgo y la completitud de la implementación de los casos de uso que aparecen como parcialmente elaborados.</w:t>
      </w:r>
    </w:p>
    <w:p w:rsidR="005679D3" w:rsidRPr="002E3EA3" w:rsidRDefault="005679D3" w:rsidP="005679D3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alcanzadas creemos conveniente generar una nueva iteración, con un plan que permita alcanzar estos faltantes necesarios para pasar a la siguiente fase.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5679D3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5" w:name="_Toc49859653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114E64">
        <w:rPr>
          <w:rFonts w:cstheme="minorHAnsi"/>
          <w:b/>
          <w:color w:val="auto"/>
        </w:rPr>
        <w:t>131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114E64" w:rsidRPr="00114E64">
        <w:rPr>
          <w:rFonts w:cstheme="minorHAnsi"/>
          <w:b/>
          <w:color w:val="auto"/>
        </w:rPr>
        <w:t>142</w:t>
      </w:r>
    </w:p>
    <w:sectPr w:rsidR="00486BE4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F0D" w:rsidRDefault="00A37F0D" w:rsidP="00C94FBE">
      <w:pPr>
        <w:spacing w:before="0" w:line="240" w:lineRule="auto"/>
      </w:pPr>
      <w:r>
        <w:separator/>
      </w:r>
    </w:p>
    <w:p w:rsidR="00A37F0D" w:rsidRDefault="00A37F0D"/>
  </w:endnote>
  <w:endnote w:type="continuationSeparator" w:id="0">
    <w:p w:rsidR="00A37F0D" w:rsidRDefault="00A37F0D" w:rsidP="00C94FBE">
      <w:pPr>
        <w:spacing w:before="0" w:line="240" w:lineRule="auto"/>
      </w:pPr>
      <w:r>
        <w:continuationSeparator/>
      </w:r>
    </w:p>
    <w:p w:rsidR="00A37F0D" w:rsidRDefault="00A37F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F0D" w:rsidRDefault="00A37F0D" w:rsidP="00C94FBE">
      <w:pPr>
        <w:spacing w:before="0" w:line="240" w:lineRule="auto"/>
      </w:pPr>
      <w:r>
        <w:separator/>
      </w:r>
    </w:p>
    <w:p w:rsidR="00A37F0D" w:rsidRDefault="00A37F0D"/>
  </w:footnote>
  <w:footnote w:type="continuationSeparator" w:id="0">
    <w:p w:rsidR="00A37F0D" w:rsidRDefault="00A37F0D" w:rsidP="00C94FBE">
      <w:pPr>
        <w:spacing w:before="0" w:line="240" w:lineRule="auto"/>
      </w:pPr>
      <w:r>
        <w:continuationSeparator/>
      </w:r>
    </w:p>
    <w:p w:rsidR="00A37F0D" w:rsidRDefault="00A37F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3"/>
  </w:num>
  <w:num w:numId="16">
    <w:abstractNumId w:val="16"/>
  </w:num>
  <w:num w:numId="17">
    <w:abstractNumId w:val="12"/>
  </w:num>
  <w:num w:numId="18">
    <w:abstractNumId w:val="15"/>
  </w:num>
  <w:num w:numId="19">
    <w:abstractNumId w:val="14"/>
  </w:num>
  <w:num w:numId="20">
    <w:abstractNumId w:val="6"/>
  </w:num>
  <w:num w:numId="21">
    <w:abstractNumId w:val="8"/>
  </w:num>
  <w:num w:numId="22">
    <w:abstractNumId w:val="4"/>
  </w:num>
  <w:num w:numId="23">
    <w:abstractNumId w:val="12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23D9B"/>
    <w:rsid w:val="00045F1A"/>
    <w:rsid w:val="00047E56"/>
    <w:rsid w:val="000537BD"/>
    <w:rsid w:val="00073E14"/>
    <w:rsid w:val="00087F53"/>
    <w:rsid w:val="00092BC0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478B"/>
    <w:rsid w:val="001410A7"/>
    <w:rsid w:val="00144AE4"/>
    <w:rsid w:val="001505C5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3C0B"/>
    <w:rsid w:val="001F5F92"/>
    <w:rsid w:val="0020621B"/>
    <w:rsid w:val="002129C9"/>
    <w:rsid w:val="00217A70"/>
    <w:rsid w:val="00224B75"/>
    <w:rsid w:val="0023227F"/>
    <w:rsid w:val="00266C42"/>
    <w:rsid w:val="002731FC"/>
    <w:rsid w:val="00295CA9"/>
    <w:rsid w:val="002A41AA"/>
    <w:rsid w:val="002B2E69"/>
    <w:rsid w:val="002B506A"/>
    <w:rsid w:val="002B5AF9"/>
    <w:rsid w:val="002C3410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525FF"/>
    <w:rsid w:val="004807AF"/>
    <w:rsid w:val="00481A05"/>
    <w:rsid w:val="00486BE4"/>
    <w:rsid w:val="0049000B"/>
    <w:rsid w:val="004A54C8"/>
    <w:rsid w:val="004C5D7E"/>
    <w:rsid w:val="004D45CD"/>
    <w:rsid w:val="004D5185"/>
    <w:rsid w:val="004E3B8C"/>
    <w:rsid w:val="004E40E0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345DB"/>
    <w:rsid w:val="00540DAB"/>
    <w:rsid w:val="00564033"/>
    <w:rsid w:val="0056679F"/>
    <w:rsid w:val="00567596"/>
    <w:rsid w:val="005679D3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C7C51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054E"/>
    <w:rsid w:val="0070494E"/>
    <w:rsid w:val="00705C02"/>
    <w:rsid w:val="00706D2C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0118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22CBA"/>
    <w:rsid w:val="0082564F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0635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37F0D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E1"/>
    <w:rsid w:val="00AC7AA9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BD37F2"/>
    <w:rsid w:val="00C05700"/>
    <w:rsid w:val="00C23F8C"/>
    <w:rsid w:val="00C24CDC"/>
    <w:rsid w:val="00C26C78"/>
    <w:rsid w:val="00C42873"/>
    <w:rsid w:val="00C42D53"/>
    <w:rsid w:val="00C449D7"/>
    <w:rsid w:val="00C5135E"/>
    <w:rsid w:val="00C51471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9439E"/>
    <w:rsid w:val="00DA284A"/>
    <w:rsid w:val="00DB1574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C0FB5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0CE433CA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E40E0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30C367-E197-47C8-B271-9A95C1499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500</TotalTime>
  <Pages>7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82</cp:revision>
  <dcterms:created xsi:type="dcterms:W3CDTF">2017-09-10T17:02:00Z</dcterms:created>
  <dcterms:modified xsi:type="dcterms:W3CDTF">2019-04-17T00:44:00Z</dcterms:modified>
  <cp:category>Fase de Construcción, Iteración 2</cp:category>
</cp:coreProperties>
</file>