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857A0D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609A591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1505C5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1505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65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“Asignar Encargado a Servicio” (CU N°03).</w:t>
      </w:r>
    </w:p>
    <w:p w:rsidR="00F7261A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“Editar Servicio” (CU N°04).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“Deshabilitar Servicio” (CU N°05).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“Añadir Opciones de Valoración” (CU N°06).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“Habilitar en Sector” (CU N°07).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“Añadir Ubicación” (CU N°10).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“Realizar Valoración” (CU N°15).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“Indicar Ubicación” (CU N°16).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“Escanear Código QR (CU N°17).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Descripción” (CU N°18).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Fotografía” (CU N°19).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Email” (CU N°20).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Servicio” (CU N°22).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 w:rsidR="003901C8"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Pr="003901C8" w:rsidRDefault="003901C8" w:rsidP="003901C8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D222BE">
              <w:rPr>
                <w:rFonts w:cstheme="minorHAnsi"/>
                <w:color w:val="auto"/>
              </w:rPr>
              <w:t>0-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857A0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03</w:t>
            </w:r>
            <w:r w:rsidR="002F531C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857A0D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14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2F531C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498596525"/>
      <w:r w:rsidRPr="00850C2A">
        <w:rPr>
          <w:rFonts w:eastAsia="DejaVu Sans"/>
        </w:rPr>
        <w:lastRenderedPageBreak/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9" w:name="_Toc498596526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lastRenderedPageBreak/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498596527"/>
      <w:r w:rsidRPr="00850C2A">
        <w:t>Evaluación</w:t>
      </w:r>
      <w:r w:rsidR="00E511E0" w:rsidRPr="00850C2A">
        <w:t xml:space="preserve"> </w:t>
      </w:r>
      <w:r w:rsidR="00857A0D">
        <w:t>14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2C3410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2C3410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82564F" w:rsidRPr="009C78ED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82564F" w:rsidRPr="009C78ED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82564F" w:rsidRDefault="0082564F" w:rsidP="0082564F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2564F">
        <w:rPr>
          <w:color w:val="auto"/>
          <w:sz w:val="22"/>
          <w:szCs w:val="22"/>
          <w:lang w:val="es-AR"/>
        </w:rPr>
        <w:t>Se cumplió con la mayoría de los casos de uso presentados, salvando los casos</w:t>
      </w:r>
      <w:r>
        <w:rPr>
          <w:b/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 xml:space="preserve">“Realizar Valoración” (CU N°15) y </w:t>
      </w:r>
      <w:r>
        <w:rPr>
          <w:color w:val="auto"/>
          <w:sz w:val="22"/>
          <w:szCs w:val="22"/>
          <w:lang w:val="es-AR"/>
        </w:rPr>
        <w:t>“Indicar Ubicación” (CU N°16)</w:t>
      </w:r>
      <w:r>
        <w:rPr>
          <w:color w:val="auto"/>
          <w:sz w:val="22"/>
          <w:szCs w:val="22"/>
          <w:lang w:val="es-AR"/>
        </w:rPr>
        <w:t>, que fueron cumplidos parcialmente, el CU15 no permite aun el acceso manual.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82564F" w:rsidRPr="000537BD" w:rsidRDefault="0082564F" w:rsidP="0082564F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>
        <w:rPr>
          <w:color w:val="auto"/>
          <w:sz w:val="22"/>
          <w:szCs w:val="22"/>
          <w:lang w:val="es-AR"/>
        </w:rPr>
        <w:t>.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82564F" w:rsidRPr="003901C8" w:rsidRDefault="0082564F" w:rsidP="0082564F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9E0635" w:rsidRPr="00355B16" w:rsidRDefault="009E0635" w:rsidP="007C24E5">
      <w:pPr>
        <w:pStyle w:val="Default"/>
        <w:rPr>
          <w:color w:val="auto"/>
          <w:sz w:val="22"/>
          <w:szCs w:val="22"/>
          <w:highlight w:val="yellow"/>
          <w:lang w:val="es-AR"/>
        </w:rPr>
      </w:pP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B0795A" w:rsidRPr="00BD37F2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BD37F2">
        <w:rPr>
          <w:b/>
          <w:color w:val="auto"/>
          <w:sz w:val="22"/>
          <w:szCs w:val="22"/>
          <w:lang w:val="es-AR"/>
        </w:rPr>
        <w:t>Documento Gestión de Riesgos.</w:t>
      </w:r>
    </w:p>
    <w:p w:rsidR="002D3EE5" w:rsidRPr="00BD37F2" w:rsidRDefault="00BD37F2" w:rsidP="00BD37F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BD37F2">
        <w:rPr>
          <w:b/>
          <w:color w:val="auto"/>
          <w:sz w:val="22"/>
          <w:szCs w:val="22"/>
          <w:lang w:val="es-AR"/>
        </w:rPr>
        <w:t>Implementación parcial de los CU15 y CU16</w:t>
      </w:r>
    </w:p>
    <w:p w:rsidR="00DD1DA2" w:rsidRPr="00850C2A" w:rsidRDefault="00DD1DA2" w:rsidP="00850C2A">
      <w:pPr>
        <w:pStyle w:val="PSI-Ttulo1"/>
      </w:pPr>
      <w:bookmarkStart w:id="13" w:name="_Toc498596530"/>
      <w:r w:rsidRPr="00850C2A">
        <w:t>Conclusión</w:t>
      </w:r>
      <w:bookmarkEnd w:id="13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4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4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lastRenderedPageBreak/>
        <w:t xml:space="preserve">Estado Inicial </w:t>
      </w:r>
      <w:r w:rsidR="00114E64">
        <w:rPr>
          <w:rFonts w:cstheme="minorHAnsi"/>
          <w:b/>
          <w:color w:val="auto"/>
        </w:rPr>
        <w:t>131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114E64" w:rsidRPr="00114E64">
        <w:rPr>
          <w:rFonts w:cstheme="minorHAnsi"/>
          <w:b/>
          <w:color w:val="auto"/>
        </w:rPr>
        <w:t>142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073E14" w:rsidRDefault="00486BE4" w:rsidP="00486BE4">
      <w:pPr>
        <w:pStyle w:val="PSI-Ttulo1"/>
      </w:pPr>
      <w:bookmarkStart w:id="15" w:name="_Toc498596532"/>
      <w:r>
        <w:t>Cronograma Extensión</w:t>
      </w:r>
      <w:bookmarkEnd w:id="15"/>
    </w:p>
    <w:p w:rsidR="00486BE4" w:rsidRDefault="00486BE4" w:rsidP="00AB6BE1">
      <w:pPr>
        <w:pStyle w:val="Default"/>
        <w:jc w:val="both"/>
        <w:rPr>
          <w:lang w:val="es-AR"/>
        </w:rPr>
      </w:pPr>
    </w:p>
    <w:p w:rsidR="00073E14" w:rsidRDefault="00073E14" w:rsidP="00AB6BE1">
      <w:pPr>
        <w:pStyle w:val="Default"/>
        <w:jc w:val="both"/>
        <w:rPr>
          <w:lang w:val="es-AR"/>
        </w:rPr>
      </w:pPr>
      <w:r>
        <w:rPr>
          <w:lang w:val="es-AR"/>
        </w:rPr>
        <w:t>La extensión de dicha iteración se centrará en los faltantes y tendrá como fecha límite el día viernes 17/11/2017</w:t>
      </w:r>
    </w:p>
    <w:p w:rsidR="00857A0D" w:rsidRDefault="00857A0D" w:rsidP="00AB6BE1">
      <w:pPr>
        <w:pStyle w:val="Default"/>
        <w:jc w:val="both"/>
        <w:rPr>
          <w:lang w:val="es-AR"/>
        </w:rPr>
      </w:pPr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857A0D" w:rsidRPr="00850C2A" w:rsidTr="00A82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857A0D" w:rsidRPr="00850C2A" w:rsidRDefault="00857A0D" w:rsidP="00A822A6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9C78ED" w:rsidRDefault="00857A0D" w:rsidP="00BD37F2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Implementación </w:t>
            </w:r>
            <w:r w:rsidR="00EC0FB5">
              <w:rPr>
                <w:rFonts w:cstheme="minorHAnsi"/>
                <w:color w:val="auto"/>
                <w:lang w:val="es-ES"/>
              </w:rPr>
              <w:t xml:space="preserve">faltante </w:t>
            </w:r>
            <w:r w:rsidR="00BD37F2">
              <w:rPr>
                <w:rFonts w:cstheme="minorHAnsi"/>
                <w:color w:val="auto"/>
                <w:lang w:val="es-ES"/>
              </w:rPr>
              <w:t>CU15 y CU16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857A0D" w:rsidRPr="00850C2A" w:rsidRDefault="00BD37F2" w:rsidP="00BD37F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14</w:t>
            </w:r>
            <w:r w:rsidR="00857A0D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1</w:t>
            </w:r>
            <w:r w:rsidR="00857A0D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857A0D" w:rsidRPr="00850C2A" w:rsidRDefault="00BD37F2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857A0D">
              <w:rPr>
                <w:rFonts w:cstheme="minorHAnsi"/>
                <w:color w:val="auto"/>
              </w:rPr>
              <w:t>-11-17</w:t>
            </w:r>
          </w:p>
        </w:tc>
      </w:tr>
      <w:tr w:rsidR="00857A0D" w:rsidRPr="00850C2A" w:rsidTr="00A822A6">
        <w:tc>
          <w:tcPr>
            <w:tcW w:w="4678" w:type="dxa"/>
          </w:tcPr>
          <w:p w:rsidR="00857A0D" w:rsidRPr="009C78ED" w:rsidRDefault="00857A0D" w:rsidP="00A822A6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857A0D" w:rsidRPr="00F53D96" w:rsidRDefault="00540DAB" w:rsidP="00540DAB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14</w:t>
            </w:r>
            <w:r w:rsidR="00857A0D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857A0D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857A0D" w:rsidRPr="00850C2A" w:rsidRDefault="00540DAB" w:rsidP="00A822A6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857A0D">
              <w:rPr>
                <w:rFonts w:cstheme="minorHAnsi"/>
                <w:color w:val="auto"/>
              </w:rPr>
              <w:t>-11-17</w:t>
            </w:r>
          </w:p>
        </w:tc>
      </w:tr>
      <w:tr w:rsidR="00857A0D" w:rsidRPr="00850C2A" w:rsidTr="00A8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57A0D" w:rsidRPr="001A69E2" w:rsidRDefault="00857A0D" w:rsidP="00A822A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857A0D" w:rsidRDefault="00857A0D" w:rsidP="00A822A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857A0D" w:rsidRPr="001A69E2" w:rsidRDefault="00047E56" w:rsidP="00A822A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14</w:t>
            </w:r>
            <w:r w:rsidR="00857A0D">
              <w:rPr>
                <w:rFonts w:cstheme="minorHAnsi"/>
                <w:b/>
                <w:color w:val="auto"/>
              </w:rPr>
              <w:t>-11</w:t>
            </w:r>
            <w:r w:rsidR="00857A0D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857A0D" w:rsidRPr="001A69E2" w:rsidRDefault="00857A0D" w:rsidP="00047E56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</w:t>
            </w:r>
            <w:r w:rsidR="00047E56">
              <w:rPr>
                <w:rFonts w:cstheme="minorHAnsi"/>
                <w:b/>
                <w:color w:val="auto"/>
              </w:rPr>
              <w:t>7</w:t>
            </w:r>
            <w:r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11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481A05" w:rsidRDefault="00481A05" w:rsidP="00486BE4">
      <w:pPr>
        <w:pStyle w:val="PSI-Ttulo1"/>
      </w:pPr>
      <w:bookmarkStart w:id="16" w:name="_Toc498596533"/>
    </w:p>
    <w:p w:rsidR="00486BE4" w:rsidRDefault="00486BE4" w:rsidP="00486BE4">
      <w:pPr>
        <w:pStyle w:val="PSI-Ttulo1"/>
      </w:pPr>
      <w:proofErr w:type="gramStart"/>
      <w:r w:rsidRPr="00850C2A">
        <w:t xml:space="preserve">Evaluación </w:t>
      </w:r>
      <w:r>
        <w:t xml:space="preserve"> Extensión</w:t>
      </w:r>
      <w:proofErr w:type="gramEnd"/>
      <w:r>
        <w:t xml:space="preserve"> 17-11-17</w:t>
      </w:r>
      <w:bookmarkEnd w:id="16"/>
    </w:p>
    <w:p w:rsidR="00EC0FB5" w:rsidRPr="00857A0D" w:rsidRDefault="00EC0FB5" w:rsidP="00EC0FB5">
      <w:pPr>
        <w:pStyle w:val="PSI-Ttulo2"/>
        <w:rPr>
          <w:rFonts w:asciiTheme="minorHAnsi" w:hAnsiTheme="minorHAnsi" w:cstheme="minorHAnsi"/>
          <w:color w:val="92D050"/>
          <w:u w:val="single"/>
        </w:rPr>
      </w:pPr>
      <w:r w:rsidRPr="00850C2A">
        <w:rPr>
          <w:rFonts w:asciiTheme="minorHAnsi" w:hAnsiTheme="minorHAnsi" w:cstheme="minorHAnsi"/>
          <w:color w:val="92D050"/>
        </w:rPr>
        <w:t>Objetivos Alcanzados</w:t>
      </w:r>
    </w:p>
    <w:p w:rsidR="00EC0FB5" w:rsidRDefault="00EC0FB5" w:rsidP="00481A05">
      <w:pPr>
        <w:pStyle w:val="Default"/>
        <w:rPr>
          <w:color w:val="auto"/>
          <w:sz w:val="22"/>
          <w:szCs w:val="22"/>
          <w:lang w:val="es-AR"/>
        </w:rPr>
      </w:pPr>
    </w:p>
    <w:p w:rsidR="00481A05" w:rsidRPr="00481A05" w:rsidRDefault="00481A05" w:rsidP="00481A05">
      <w:pPr>
        <w:pStyle w:val="Default"/>
        <w:rPr>
          <w:color w:val="auto"/>
          <w:sz w:val="22"/>
          <w:szCs w:val="22"/>
          <w:lang w:val="es-AR"/>
        </w:rPr>
      </w:pPr>
      <w:r w:rsidRPr="00481A05">
        <w:rPr>
          <w:color w:val="auto"/>
          <w:sz w:val="22"/>
          <w:szCs w:val="22"/>
          <w:lang w:val="es-AR"/>
        </w:rPr>
        <w:t>Durante la extensión se logró realizar lo siguiente:</w:t>
      </w:r>
    </w:p>
    <w:p w:rsidR="00481A05" w:rsidRPr="00481A05" w:rsidRDefault="00481A05" w:rsidP="00481A05">
      <w:pPr>
        <w:pStyle w:val="Default"/>
        <w:numPr>
          <w:ilvl w:val="0"/>
          <w:numId w:val="18"/>
        </w:numPr>
        <w:ind w:left="709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</w:t>
      </w:r>
      <w:r w:rsidRPr="00481A05">
        <w:rPr>
          <w:b/>
          <w:color w:val="auto"/>
          <w:sz w:val="22"/>
          <w:szCs w:val="22"/>
          <w:lang w:val="es-AR"/>
        </w:rPr>
        <w:t xml:space="preserve"> Gestión de Riesgo.</w:t>
      </w:r>
    </w:p>
    <w:p w:rsidR="00481A05" w:rsidRPr="00481A05" w:rsidRDefault="00481A05" w:rsidP="00481A05">
      <w:pPr>
        <w:pStyle w:val="Default"/>
        <w:ind w:left="709"/>
        <w:rPr>
          <w:color w:val="auto"/>
          <w:sz w:val="22"/>
          <w:szCs w:val="22"/>
          <w:lang w:val="es-AR"/>
        </w:rPr>
      </w:pPr>
      <w:r w:rsidRPr="00481A05">
        <w:rPr>
          <w:color w:val="auto"/>
          <w:sz w:val="22"/>
          <w:szCs w:val="22"/>
          <w:lang w:val="es-AR"/>
        </w:rPr>
        <w:t>Se evaluaron los riesgos detectados para ver si habían tenido algún impacto, si seguían presentes o no, y si su probabilidad de impacto había variado.</w:t>
      </w:r>
    </w:p>
    <w:p w:rsidR="00481A05" w:rsidRDefault="00481A05" w:rsidP="00481A05">
      <w:pPr>
        <w:pStyle w:val="Default"/>
        <w:ind w:left="709"/>
        <w:rPr>
          <w:color w:val="auto"/>
          <w:sz w:val="22"/>
          <w:szCs w:val="22"/>
          <w:lang w:val="es-AR"/>
        </w:rPr>
      </w:pPr>
      <w:r w:rsidRPr="00481A05">
        <w:rPr>
          <w:color w:val="auto"/>
          <w:sz w:val="22"/>
          <w:szCs w:val="22"/>
          <w:lang w:val="es-AR"/>
        </w:rPr>
        <w:t>En función de esos resultados se procederá a realizar el nuevo plan de riesgo en la iteración siguiente.</w:t>
      </w:r>
    </w:p>
    <w:p w:rsidR="00EC0FB5" w:rsidRDefault="00EC0FB5" w:rsidP="00EC0FB5">
      <w:pPr>
        <w:pStyle w:val="Default"/>
        <w:rPr>
          <w:color w:val="auto"/>
          <w:sz w:val="22"/>
          <w:szCs w:val="22"/>
          <w:lang w:val="es-AR"/>
        </w:rPr>
      </w:pPr>
    </w:p>
    <w:p w:rsidR="00EC0FB5" w:rsidRPr="00850C2A" w:rsidRDefault="00EC0FB5" w:rsidP="00EC0FB5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Alcanzados</w:t>
      </w:r>
    </w:p>
    <w:p w:rsidR="00EC0FB5" w:rsidRPr="00EC0FB5" w:rsidRDefault="00EC0FB5" w:rsidP="00EC0FB5">
      <w:pPr>
        <w:pStyle w:val="Default"/>
        <w:numPr>
          <w:ilvl w:val="0"/>
          <w:numId w:val="18"/>
        </w:numPr>
        <w:ind w:left="709"/>
        <w:rPr>
          <w:b/>
          <w:color w:val="auto"/>
          <w:sz w:val="22"/>
          <w:szCs w:val="22"/>
          <w:lang w:val="es-AR"/>
        </w:rPr>
      </w:pPr>
      <w:r w:rsidRPr="00EC0FB5">
        <w:rPr>
          <w:b/>
          <w:color w:val="auto"/>
          <w:sz w:val="22"/>
          <w:szCs w:val="22"/>
          <w:lang w:val="es-AR"/>
        </w:rPr>
        <w:t>Implementación faltante de CU15 y CU16</w:t>
      </w:r>
    </w:p>
    <w:p w:rsidR="00EC0FB5" w:rsidRPr="00481A05" w:rsidRDefault="00EC0FB5" w:rsidP="00EC0FB5">
      <w:pPr>
        <w:pStyle w:val="Default"/>
        <w:rPr>
          <w:color w:val="auto"/>
          <w:sz w:val="22"/>
          <w:szCs w:val="22"/>
          <w:lang w:val="es-AR"/>
        </w:rPr>
      </w:pPr>
    </w:p>
    <w:p w:rsidR="00857A0D" w:rsidRDefault="00857A0D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1"/>
      </w:pPr>
      <w:bookmarkStart w:id="17" w:name="_Toc498596534"/>
      <w:r>
        <w:t>Conclusión Extensión</w:t>
      </w:r>
      <w:bookmarkEnd w:id="17"/>
    </w:p>
    <w:p w:rsidR="00486BE4" w:rsidRDefault="00EC0FB5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Se </w:t>
      </w:r>
      <w:r w:rsidR="007C0118">
        <w:rPr>
          <w:lang w:val="es-AR"/>
        </w:rPr>
        <w:t>logró</w:t>
      </w:r>
      <w:r>
        <w:rPr>
          <w:lang w:val="es-AR"/>
        </w:rPr>
        <w:t xml:space="preserve"> alcanzar parte del objetivo planteado, durante el periodo de </w:t>
      </w:r>
      <w:r w:rsidR="007C0118">
        <w:rPr>
          <w:lang w:val="es-AR"/>
        </w:rPr>
        <w:t>extensión</w:t>
      </w:r>
      <w:r>
        <w:rPr>
          <w:lang w:val="es-AR"/>
        </w:rPr>
        <w:t xml:space="preserve"> se </w:t>
      </w:r>
      <w:r w:rsidR="007C0118">
        <w:rPr>
          <w:lang w:val="es-AR"/>
        </w:rPr>
        <w:t>dejó</w:t>
      </w:r>
      <w:r>
        <w:rPr>
          <w:lang w:val="es-AR"/>
        </w:rPr>
        <w:t xml:space="preserve"> de lado la tarea de implementación faltante de CU15 y CU16, dado que se descubrió que no eran </w:t>
      </w:r>
      <w:r w:rsidR="007C0118">
        <w:rPr>
          <w:lang w:val="es-AR"/>
        </w:rPr>
        <w:t>esenciales</w:t>
      </w:r>
      <w:r>
        <w:rPr>
          <w:lang w:val="es-AR"/>
        </w:rPr>
        <w:t xml:space="preserve"> para el funcionamiento en la etapa que nos encontramos y no condicionaban el normal desarrollo del resto del proyecto, en tanto y dado los tiempos acotados nos enfocamos en la actividad de análisis de riesgo, mucho </w:t>
      </w:r>
      <w:r w:rsidR="007C0118">
        <w:rPr>
          <w:lang w:val="es-AR"/>
        </w:rPr>
        <w:t>más</w:t>
      </w:r>
      <w:r>
        <w:rPr>
          <w:lang w:val="es-AR"/>
        </w:rPr>
        <w:t xml:space="preserve"> enriquecedora para el proyecto de desarrollo en esta instancia.</w:t>
      </w:r>
    </w:p>
    <w:p w:rsidR="00EC0FB5" w:rsidRPr="002E3EA3" w:rsidRDefault="00EC0FB5" w:rsidP="00AB6BE1">
      <w:pPr>
        <w:pStyle w:val="Default"/>
        <w:jc w:val="both"/>
        <w:rPr>
          <w:lang w:val="es-AR"/>
        </w:rPr>
      </w:pPr>
      <w:r>
        <w:rPr>
          <w:lang w:val="es-AR"/>
        </w:rPr>
        <w:lastRenderedPageBreak/>
        <w:t xml:space="preserve">Es por esos motivos que concluimos que esta iteración se da por terminada y se procede a una nueva iteración </w:t>
      </w:r>
      <w:r w:rsidR="007C0118">
        <w:rPr>
          <w:lang w:val="es-AR"/>
        </w:rPr>
        <w:t>antes de pasar a la siguiente fase para poder trabajar sobre los casos de uso faltantes.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8" w:name="_Toc238197620"/>
      <w:bookmarkStart w:id="19" w:name="_Toc498596535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8"/>
      <w:r w:rsidR="00486BE4">
        <w:rPr>
          <w:rFonts w:asciiTheme="minorHAnsi" w:hAnsiTheme="minorHAnsi" w:cstheme="minorHAnsi"/>
          <w:color w:val="92D050"/>
        </w:rPr>
        <w:t xml:space="preserve"> extensión</w:t>
      </w:r>
      <w:bookmarkEnd w:id="19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142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>Estado Final</w:t>
      </w:r>
      <w:bookmarkStart w:id="20" w:name="_GoBack"/>
      <w:bookmarkEnd w:id="20"/>
      <w:r w:rsidR="0070054E">
        <w:rPr>
          <w:rFonts w:cstheme="minorHAnsi"/>
          <w:color w:val="auto"/>
        </w:rPr>
        <w:t xml:space="preserve"> </w:t>
      </w:r>
      <w:r w:rsidR="0070054E" w:rsidRPr="0070054E">
        <w:rPr>
          <w:rFonts w:cstheme="minorHAnsi"/>
          <w:b/>
          <w:color w:val="auto"/>
        </w:rPr>
        <w:t>146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C5" w:rsidRDefault="001505C5" w:rsidP="00C94FBE">
      <w:pPr>
        <w:spacing w:before="0" w:line="240" w:lineRule="auto"/>
      </w:pPr>
      <w:r>
        <w:separator/>
      </w:r>
    </w:p>
    <w:p w:rsidR="001505C5" w:rsidRDefault="001505C5"/>
  </w:endnote>
  <w:endnote w:type="continuationSeparator" w:id="0">
    <w:p w:rsidR="001505C5" w:rsidRDefault="001505C5" w:rsidP="00C94FBE">
      <w:pPr>
        <w:spacing w:before="0" w:line="240" w:lineRule="auto"/>
      </w:pPr>
      <w:r>
        <w:continuationSeparator/>
      </w:r>
    </w:p>
    <w:p w:rsidR="001505C5" w:rsidRDefault="001505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C5" w:rsidRDefault="001505C5" w:rsidP="00C94FBE">
      <w:pPr>
        <w:spacing w:before="0" w:line="240" w:lineRule="auto"/>
      </w:pPr>
      <w:r>
        <w:separator/>
      </w:r>
    </w:p>
    <w:p w:rsidR="001505C5" w:rsidRDefault="001505C5"/>
  </w:footnote>
  <w:footnote w:type="continuationSeparator" w:id="0">
    <w:p w:rsidR="001505C5" w:rsidRDefault="001505C5" w:rsidP="00C94FBE">
      <w:pPr>
        <w:spacing w:before="0" w:line="240" w:lineRule="auto"/>
      </w:pPr>
      <w:r>
        <w:continuationSeparator/>
      </w:r>
    </w:p>
    <w:p w:rsidR="001505C5" w:rsidRDefault="001505C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16"/>
  </w:num>
  <w:num w:numId="17">
    <w:abstractNumId w:val="12"/>
  </w:num>
  <w:num w:numId="18">
    <w:abstractNumId w:val="15"/>
  </w:num>
  <w:num w:numId="19">
    <w:abstractNumId w:val="14"/>
  </w:num>
  <w:num w:numId="20">
    <w:abstractNumId w:val="6"/>
  </w:num>
  <w:num w:numId="21">
    <w:abstractNumId w:val="8"/>
  </w:num>
  <w:num w:numId="22">
    <w:abstractNumId w:val="4"/>
  </w:num>
  <w:num w:numId="23">
    <w:abstractNumId w:val="12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5F1A"/>
    <w:rsid w:val="00047E56"/>
    <w:rsid w:val="000537BD"/>
    <w:rsid w:val="00073E14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478B"/>
    <w:rsid w:val="001410A7"/>
    <w:rsid w:val="00144AE4"/>
    <w:rsid w:val="001505C5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3227F"/>
    <w:rsid w:val="00266C42"/>
    <w:rsid w:val="002731FC"/>
    <w:rsid w:val="00295CA9"/>
    <w:rsid w:val="002A41AA"/>
    <w:rsid w:val="002B506A"/>
    <w:rsid w:val="002B5AF9"/>
    <w:rsid w:val="002C3410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81A05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40DAB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054E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0118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2564F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0635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BD37F2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B1574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C0FB5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20D729F8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B6F74-E913-49D4-A3AC-E629AECB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480</TotalTime>
  <Pages>9</Pages>
  <Words>1296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76</cp:revision>
  <dcterms:created xsi:type="dcterms:W3CDTF">2017-09-10T17:02:00Z</dcterms:created>
  <dcterms:modified xsi:type="dcterms:W3CDTF">2017-11-19T00:47:00Z</dcterms:modified>
  <cp:category>Fase de Construcción, Iteración 2</cp:category>
</cp:coreProperties>
</file>