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A0611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– любая информация, относящаяся к прямо или косвенно </w:t>
      </w:r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определенному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63FD" w:rsidRDefault="00855388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63FD" w:rsidRP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персональных данных и автоматизированных, а также неавтоматизированных систем, в которых они обрабатываются в СПб ГБУЗ МИАЦ.</w:t>
      </w:r>
    </w:p>
    <w:p w:rsidR="00723B0F" w:rsidRDefault="00723B0F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8E1AFF" w:rsidRDefault="00D7030F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</w:t>
      </w:r>
      <w:r w:rsidR="0085538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Организации обрабатываются персонал</w:t>
      </w:r>
      <w:r w:rsidR="00FB613B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ьные данные 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следующих </w:t>
      </w:r>
      <w:r w:rsidR="008E1AFF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системах: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9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обработки п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ерсональные данные</w:t>
      </w:r>
      <w:r w:rsid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55388" w:rsidRPr="005244E8" w:rsidRDefault="000863FD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</w:t>
      </w:r>
      <w:r w:rsidR="00C61F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="00C61F27"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</w:t>
      </w:r>
      <w:r w:rsidR="005244E8" w:rsidRP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отделе кадров.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D7030F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855388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обработки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 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кандидатов и 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работников:</w:t>
      </w:r>
    </w:p>
    <w:p w:rsidR="005244E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рассмотрение кандидатов на соответствие требованиям вакантной должности в </w:t>
      </w:r>
      <w:r w:rsidR="00C61F27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424D" w:rsidRDefault="004A424D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трудовых договоров, разрабатывать, утверждать, вносить изменения в должностные инструкции работников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внутренних документов. </w:t>
      </w:r>
    </w:p>
    <w:p w:rsidR="0085538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55388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едение кадрового учета в соответствии с Трудовым кодексом Российской Федерации;</w:t>
      </w:r>
    </w:p>
    <w:p w:rsidR="000D56F8" w:rsidRPr="00BE0D3E" w:rsidRDefault="00916E8A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в процессе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работников 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916E8A" w:rsidRPr="0091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в процессе 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C61F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</w:t>
      </w:r>
      <w:r w:rsidRPr="00D7030F">
        <w:t xml:space="preserve"> </w:t>
      </w:r>
      <w:r w:rsidRPr="00D703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государственные контрольные органы (ФНС, ПФР, ФСС и другие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507" w:rsidRPr="00BE0D3E" w:rsidRDefault="00F2750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110" w:rsidRPr="00D7030F" w:rsidRDefault="002B557F" w:rsidP="002B557F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="001707A6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истемы обработки п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и 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работников.</w:t>
      </w:r>
    </w:p>
    <w:p w:rsidR="00A06110" w:rsidRPr="00A06110" w:rsidRDefault="00D150DF" w:rsidP="00A06110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0D3E" w:rsidRPr="00CF7A27" w:rsidRDefault="00BE0D3E" w:rsidP="0049456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Система управления 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="00BB211C"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="0049456B"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A655C">
        <w:t>н</w:t>
      </w:r>
      <w:r w:rsidR="006A655C">
        <w:t>еавтоматизированная систем</w:t>
      </w:r>
      <w:r w:rsidR="006A655C">
        <w:t>ы</w:t>
      </w:r>
      <w:r w:rsidR="006A655C">
        <w:t xml:space="preserve"> </w:t>
      </w:r>
      <w:r w:rsidR="006A655C">
        <w:t xml:space="preserve">обработки и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сведений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информацией </w:t>
      </w:r>
      <w:r w:rsidR="00D15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F3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7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="001707A6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п.2.1.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информацию о трудовом договоре, образовании, трудовом стаже, занимаемой должности и других данных.</w:t>
      </w:r>
    </w:p>
    <w:p w:rsidR="00642853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№1  </w:t>
      </w:r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Положение об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отделе кадров</w:t>
      </w:r>
      <w:r w:rsidR="00202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7A27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организации хранение документов в Отделе кадров.</w:t>
      </w:r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>( правила хранения , каталогами</w:t>
      </w:r>
      <w:r w:rsidR="00CE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начальника отдела кадров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4 Служебная обязанность  специалистов по кадрам</w:t>
      </w:r>
    </w:p>
    <w:p w:rsidR="002C44E9" w:rsidRDefault="002C44E9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Список </w:t>
      </w:r>
      <w:r w:rsid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сотрудников 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…..</w:t>
      </w:r>
    </w:p>
    <w:p w:rsidR="00D2738D" w:rsidRDefault="00CE4800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</w:p>
    <w:p w:rsidR="008E1AFF" w:rsidRDefault="008E1AFF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Начисление заработной платы, налогов и других взносов сотрудников.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трудовыми отношениями, включая подготовку трудовых договоров и </w:t>
      </w:r>
      <w:proofErr w:type="spellStart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внутренних документов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подача обязательной отчетности в государственные контролирующие органы, такие как ФНС, ПФР, ФСС.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и выплата социальных льгот и компенсаций.</w:t>
      </w:r>
    </w:p>
    <w:p w:rsidR="00D874B8" w:rsidRP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Участие в заключении договоров</w:t>
      </w:r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B62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соблюдение по ним обязательств. 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14E" w:rsidRPr="00A06110" w:rsidRDefault="0051314E" w:rsidP="0051314E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51314E" w:rsidRPr="00CF7A27" w:rsidRDefault="0051314E" w:rsidP="00B75EAE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Система управления 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 информацию о трудовом договоре, образовании, трудовом стаже, занимаемой должности и других данных.</w:t>
      </w:r>
    </w:p>
    <w:p w:rsidR="00B75EAE" w:rsidRDefault="0051314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 xml:space="preserve">Приложение №1  Положение об </w:t>
      </w:r>
      <w:r w:rsidR="00B75EA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бухгалтерии</w:t>
      </w:r>
    </w:p>
    <w:p w:rsidR="0051314E" w:rsidRDefault="00B75EA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.( правила хранения , каталогами)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Служебная обязанность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бухгалтера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обязанность 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бухгалтера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Список сотрудников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документооборота, </w:t>
      </w:r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документооборота 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Составление 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утверждения соглашений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договоров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отслеживание выполнения условий </w:t>
      </w:r>
      <w:r w:rsid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соглашений и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договоров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интересах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 и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СПб</w:t>
      </w:r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МИАЦ;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переписки с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контролирующими, уполномоченными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органными, медицинскими организациями, частными лицами и контрагентами в рамках деятельности организациями.</w:t>
      </w:r>
    </w:p>
    <w:p w:rsidR="008B7AB7" w:rsidRPr="008B7AB7" w:rsidRDefault="00504C76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предоставление необходимых документов и данных в соответствии с законодательными и нормативными актами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целей деятельности Организации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7AB7" w:rsidRPr="008E1AFF" w:rsidRDefault="008B7AB7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архивация официальной переписки для обеспечения возможности аудита и проверки действий организации.</w:t>
      </w:r>
      <w:r w:rsidR="00186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C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504C76" w:rsidRPr="00A06110" w:rsidRDefault="00504C76" w:rsidP="00504C76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бухгалтерия  </w:t>
      </w:r>
    </w:p>
    <w:p w:rsidR="00504C76" w:rsidRPr="00CF7A27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Система управления 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 информацию о трудовом договоре, образовании, трудовом стаже, занимаемой должности и других данных.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№1  Положение об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бухгалтерии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документов в Бухгалтерии.( правила хранения , каталогами)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главного бухгалтера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обязанность  бухгалтера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Список сотрудников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504C76" w:rsidRDefault="00504C76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Pr="00D874B8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2738D" w:rsidRDefault="00D874B8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0705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выплатить 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Ведение кадрового учета в соответствии с Трудовым кодексом Российской Федерации;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3)  Участи в процессе начисление заработной платы и премиального вознаграждения работников СПб ГБУЗ МИАЦ;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  Участи в процессе организации системы доступа в помещения СПб ГБУЗ МИАЦ;</w:t>
      </w: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 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 в государственные контрольные органы (ФНС, ПФР, ФСС и другие).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кандидатов и работников в отделе кадров.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3F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 Положение об отделе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начальника отдела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Служебные обязанности специалиста ( бухгалтера)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документооборот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Переченьинформацинных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</w:p>
    <w:p w:rsidR="00BB211C" w:rsidRPr="007453F7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211C" w:rsidRPr="00BE0D3E" w:rsidRDefault="00BB211C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851354">
      <w:pPr>
        <w:pStyle w:val="a4"/>
        <w:numPr>
          <w:ilvl w:val="0"/>
          <w:numId w:val="16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35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Система доступа и безопасности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контролирующая и регулирующая доступ к помещениям и информационным ресурсам </w:t>
      </w:r>
      <w:r w:rsidR="00851354" w:rsidRPr="00851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электронные карты доступа, коды доступа и уровни доступа.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</w:t>
      </w:r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Положение об безопасности</w:t>
      </w:r>
      <w:r w:rsidR="007768A7" w:rsidRPr="007768A7">
        <w:t xml:space="preserve"> </w:t>
      </w:r>
      <w:r w:rsidR="004517D7">
        <w:t xml:space="preserve"> </w:t>
      </w:r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СПб ГБУЗ МИАЦ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Приложение№ 4 Положение об объектовом и внутриобьектовом режимах ( КПП, видеонаблюдения, СКУД, режим допуска  работников и посетителей ).</w:t>
      </w:r>
    </w:p>
    <w:p w:rsidR="00CE4800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  Договор с ЧОП.</w:t>
      </w:r>
    </w:p>
    <w:p w:rsidR="00BC2575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 Инструкция  охранников  ( реагирование, посетители, выдача ключей)</w:t>
      </w:r>
    </w:p>
    <w:p w:rsidR="00BC2575" w:rsidRPr="00CF7A27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Приложение№ Инструкция поведению журналов, документов.</w:t>
      </w:r>
    </w:p>
    <w:p w:rsidR="00BE0D3E" w:rsidRPr="00BE0D3E" w:rsidRDefault="00BE0D3E" w:rsidP="00851354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FD5EF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3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B3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E0D3E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карты доступа в помещения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</w:t>
      </w:r>
      <w:r w:rsidR="000B7106" w:rsidRP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р) 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B7106" w:rsidRPr="00AC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 зарплате и других выплатах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5994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ведения о 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банковских  счетах и картах</w:t>
      </w:r>
      <w:r w:rsidR="005306F3" w:rsidRPr="002C44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ы) фамилия, имя, отчество;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D7030F">
      <w:pPr>
        <w:pStyle w:val="a4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дополнительные документы - в случаях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з) Справка  о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трех  рабочих  дней.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</w:t>
      </w:r>
      <w:r w:rsidRPr="00446361">
        <w:rPr>
          <w:rFonts w:ascii="Arial" w:hAnsi="Arial" w:cs="Arial"/>
          <w:sz w:val="22"/>
          <w:szCs w:val="22"/>
        </w:rPr>
        <w:lastRenderedPageBreak/>
        <w:t>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Временное прекращение операций  по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С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" w:name="_Toc253569830"/>
      <w:bookmarkStart w:id="2" w:name="_Toc253569933"/>
      <w:bookmarkStart w:id="3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1"/>
      <w:bookmarkEnd w:id="2"/>
      <w:bookmarkEnd w:id="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" w:name="_Toc253569831"/>
      <w:bookmarkStart w:id="5" w:name="_Toc253569934"/>
      <w:bookmarkStart w:id="6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4"/>
      <w:bookmarkEnd w:id="5"/>
      <w:bookmarkEnd w:id="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7" w:name="_Toc253569832"/>
      <w:bookmarkStart w:id="8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7"/>
      <w:bookmarkEnd w:id="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9" w:name="_Toc253569833"/>
      <w:bookmarkStart w:id="10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9"/>
      <w:bookmarkEnd w:id="1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дополнительные документы - в случаях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з) Справка  о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1" w:name="_Toc253569835"/>
      <w:bookmarkStart w:id="12" w:name="_Toc253569938"/>
      <w:bookmarkStart w:id="13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1"/>
      <w:bookmarkEnd w:id="12"/>
      <w:bookmarkEnd w:id="1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4" w:name="_Toc253569836"/>
      <w:bookmarkStart w:id="15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4"/>
      <w:bookmarkEnd w:id="15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6" w:name="_Toc253569837"/>
      <w:bookmarkStart w:id="17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6"/>
      <w:bookmarkEnd w:id="17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8" w:name="_Toc253569838"/>
      <w:bookmarkStart w:id="19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8"/>
      <w:bookmarkEnd w:id="1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0" w:name="_Toc253569842"/>
      <w:bookmarkStart w:id="21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2" w:name="_Toc253569839"/>
      <w:bookmarkStart w:id="23" w:name="_Toc253569942"/>
      <w:bookmarkEnd w:id="20"/>
      <w:bookmarkEnd w:id="2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трех  рабочих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4" w:name="_Toc504465036"/>
      <w:bookmarkEnd w:id="22"/>
      <w:bookmarkEnd w:id="23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5" w:name="_Toc253569840"/>
      <w:bookmarkStart w:id="26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7" w:name="_Toc253569841"/>
      <w:bookmarkStart w:id="28" w:name="_Toc253569944"/>
      <w:bookmarkEnd w:id="25"/>
      <w:bookmarkEnd w:id="26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9" w:name="_Toc253569843"/>
      <w:bookmarkStart w:id="30" w:name="_Toc253569946"/>
      <w:bookmarkEnd w:id="27"/>
      <w:bookmarkEnd w:id="28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9"/>
      <w:bookmarkEnd w:id="3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1" w:name="_Toc253569844"/>
      <w:bookmarkStart w:id="32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1"/>
      <w:bookmarkEnd w:id="3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3" w:name="_Toc253569845"/>
      <w:bookmarkStart w:id="34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3"/>
      <w:bookmarkEnd w:id="34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6" w:name="_Toc253569846"/>
      <w:bookmarkStart w:id="37" w:name="_Toc253569949"/>
      <w:bookmarkStart w:id="38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6"/>
      <w:bookmarkEnd w:id="37"/>
      <w:bookmarkEnd w:id="3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9" w:name="_Toc253569847"/>
      <w:bookmarkStart w:id="40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9"/>
      <w:bookmarkEnd w:id="4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1" w:name="_Toc253569848"/>
      <w:bookmarkStart w:id="42" w:name="_Toc253569951"/>
      <w:r w:rsidRPr="00446361">
        <w:rPr>
          <w:rFonts w:ascii="Arial" w:hAnsi="Arial" w:cs="Arial"/>
          <w:sz w:val="22"/>
          <w:szCs w:val="22"/>
        </w:rPr>
        <w:t>Временное прекращение операций  по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1"/>
      <w:bookmarkEnd w:id="42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3" w:name="_Toc253569849"/>
      <w:bookmarkStart w:id="44" w:name="_Toc253569952"/>
      <w:bookmarkStart w:id="45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3"/>
      <w:bookmarkEnd w:id="44"/>
      <w:bookmarkEnd w:id="4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6" w:name="_Toc253569850"/>
      <w:bookmarkStart w:id="47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6"/>
      <w:bookmarkEnd w:id="4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8" w:name="_Toc253569851"/>
      <w:bookmarkStart w:id="49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8"/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="00A06110">
        <w:rPr>
          <w:rFonts w:ascii="Arial" w:hAnsi="Arial" w:cs="Arial"/>
          <w:sz w:val="22"/>
          <w:szCs w:val="22"/>
          <w:highlight w:val="yellow"/>
        </w:rPr>
        <w:t xml:space="preserve">директора </w:t>
      </w:r>
      <w:r w:rsidRPr="00771692">
        <w:rPr>
          <w:rFonts w:ascii="Arial" w:hAnsi="Arial" w:cs="Arial"/>
          <w:sz w:val="22"/>
          <w:szCs w:val="22"/>
          <w:highlight w:val="yellow"/>
        </w:rPr>
        <w:t>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50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5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С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ИСПДн</w:t>
      </w:r>
      <w:proofErr w:type="spellEnd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16A18" w:rsidRPr="00516A18" w:rsidRDefault="00516A1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Pr="00A06110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1" w:name="_Toc253569885"/>
      <w:bookmarkStart w:id="52" w:name="_Toc253569988"/>
      <w:bookmarkStart w:id="53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1"/>
      <w:bookmarkEnd w:id="52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3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4" w:name="_Toc253569886"/>
      <w:bookmarkStart w:id="55" w:name="_Toc253569989"/>
      <w:bookmarkStart w:id="56" w:name="_Toc504465045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6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4"/>
      <w:bookmarkEnd w:id="5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7" w:name="_Toc253569887"/>
      <w:bookmarkStart w:id="58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7"/>
      <w:bookmarkEnd w:id="5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9" w:name="_Toc253569888"/>
      <w:bookmarkStart w:id="60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9"/>
      <w:bookmarkEnd w:id="6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1" w:name="_Toc253569889"/>
      <w:bookmarkStart w:id="62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1"/>
      <w:bookmarkEnd w:id="6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3" w:name="_Toc253569890"/>
      <w:bookmarkStart w:id="64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3"/>
      <w:bookmarkEnd w:id="64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5" w:name="_Toc247352299"/>
      <w:bookmarkStart w:id="66" w:name="_Toc247352521"/>
      <w:bookmarkStart w:id="67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5"/>
      <w:bookmarkEnd w:id="66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7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8" w:name="_Toc247352300"/>
      <w:bookmarkStart w:id="69" w:name="_Toc247352522"/>
      <w:bookmarkStart w:id="70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8"/>
      <w:bookmarkEnd w:id="69"/>
      <w:bookmarkEnd w:id="7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1" w:name="_Toc247352301"/>
      <w:bookmarkStart w:id="72" w:name="_Toc247352523"/>
      <w:bookmarkStart w:id="73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1"/>
      <w:bookmarkEnd w:id="72"/>
      <w:bookmarkEnd w:id="7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требовать исключения или исправления неверных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4" w:name="_Toc247352302"/>
      <w:bookmarkStart w:id="75" w:name="_Toc247352524"/>
      <w:bookmarkStart w:id="76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4"/>
      <w:bookmarkEnd w:id="75"/>
      <w:bookmarkEnd w:id="7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7" w:name="_Toc247352303"/>
      <w:bookmarkStart w:id="78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7"/>
      <w:bookmarkEnd w:id="78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ошибок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1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9" w:name="_Toc247352304"/>
      <w:bookmarkStart w:id="80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9"/>
      <w:bookmarkEnd w:id="80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1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3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2"/>
      <w:bookmarkEnd w:id="84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3"/>
      <w:bookmarkEnd w:id="85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4"/>
      <w:bookmarkEnd w:id="86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5"/>
      <w:bookmarkEnd w:id="87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9" w:name="sub_14046"/>
      <w:bookmarkEnd w:id="88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0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9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2" w:name="sub_14053"/>
      <w:bookmarkEnd w:id="91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2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3" w:name="_Toc253569891"/>
      <w:bookmarkStart w:id="94" w:name="_Toc253569994"/>
      <w:bookmarkStart w:id="95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3"/>
      <w:bookmarkEnd w:id="94"/>
      <w:bookmarkEnd w:id="95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6" w:name="_Toc253569892"/>
      <w:bookmarkStart w:id="97" w:name="_Toc253569995"/>
      <w:bookmarkStart w:id="98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6"/>
      <w:bookmarkEnd w:id="97"/>
      <w:bookmarkEnd w:id="9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9" w:name="_Toc253569893"/>
      <w:bookmarkStart w:id="100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9"/>
      <w:bookmarkEnd w:id="10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1" w:name="_Toc253569894"/>
      <w:bookmarkStart w:id="102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1"/>
      <w:bookmarkEnd w:id="10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3" w:name="_Toc253569895"/>
      <w:bookmarkStart w:id="104" w:name="_Toc253569998"/>
      <w:bookmarkStart w:id="105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3"/>
      <w:bookmarkEnd w:id="104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6" w:name="_Toc253569896"/>
      <w:bookmarkStart w:id="107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6"/>
      <w:bookmarkEnd w:id="10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8" w:name="_Toc253569897"/>
      <w:bookmarkStart w:id="109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8"/>
      <w:bookmarkEnd w:id="10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0" w:name="_Toc253569898"/>
      <w:bookmarkStart w:id="111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данным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10"/>
      <w:bookmarkEnd w:id="11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2" w:name="_Toc253569899"/>
      <w:bookmarkStart w:id="113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2"/>
      <w:bookmarkEnd w:id="113"/>
    </w:p>
    <w:p w:rsidR="00B63318" w:rsidRDefault="00A06110">
      <w:r>
        <w:t xml:space="preserve"> </w:t>
      </w: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28CA"/>
    <w:multiLevelType w:val="multilevel"/>
    <w:tmpl w:val="293E9F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9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2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3" w15:restartNumberingAfterBreak="0">
    <w:nsid w:val="70E41F0A"/>
    <w:multiLevelType w:val="hybridMultilevel"/>
    <w:tmpl w:val="C160014A"/>
    <w:lvl w:ilvl="0" w:tplc="6D082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59B7A90"/>
    <w:multiLevelType w:val="multilevel"/>
    <w:tmpl w:val="7D3A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705EB"/>
    <w:rsid w:val="000863FD"/>
    <w:rsid w:val="000B7106"/>
    <w:rsid w:val="000D56F8"/>
    <w:rsid w:val="000F3590"/>
    <w:rsid w:val="00100A6E"/>
    <w:rsid w:val="0014309D"/>
    <w:rsid w:val="001707A6"/>
    <w:rsid w:val="001860BD"/>
    <w:rsid w:val="00196556"/>
    <w:rsid w:val="001D383B"/>
    <w:rsid w:val="001D6700"/>
    <w:rsid w:val="001D69C2"/>
    <w:rsid w:val="001F7D87"/>
    <w:rsid w:val="0020221F"/>
    <w:rsid w:val="002120BC"/>
    <w:rsid w:val="002767AA"/>
    <w:rsid w:val="002B557F"/>
    <w:rsid w:val="002C21F7"/>
    <w:rsid w:val="002C44E9"/>
    <w:rsid w:val="002D193E"/>
    <w:rsid w:val="003309DB"/>
    <w:rsid w:val="00333EB7"/>
    <w:rsid w:val="00383906"/>
    <w:rsid w:val="00384097"/>
    <w:rsid w:val="0038518D"/>
    <w:rsid w:val="003B1C81"/>
    <w:rsid w:val="00403B40"/>
    <w:rsid w:val="00422D09"/>
    <w:rsid w:val="00447C3E"/>
    <w:rsid w:val="004517D7"/>
    <w:rsid w:val="00455C85"/>
    <w:rsid w:val="00462DB9"/>
    <w:rsid w:val="004651AF"/>
    <w:rsid w:val="0047094C"/>
    <w:rsid w:val="0049456B"/>
    <w:rsid w:val="004A424D"/>
    <w:rsid w:val="004C0B6C"/>
    <w:rsid w:val="004D692B"/>
    <w:rsid w:val="00504C76"/>
    <w:rsid w:val="0051314E"/>
    <w:rsid w:val="005135CA"/>
    <w:rsid w:val="00516A18"/>
    <w:rsid w:val="005244E8"/>
    <w:rsid w:val="005306F3"/>
    <w:rsid w:val="005B2A2A"/>
    <w:rsid w:val="005E00BA"/>
    <w:rsid w:val="005E0FAC"/>
    <w:rsid w:val="006039C6"/>
    <w:rsid w:val="00611E34"/>
    <w:rsid w:val="00630EA7"/>
    <w:rsid w:val="00642853"/>
    <w:rsid w:val="006A1C48"/>
    <w:rsid w:val="006A655C"/>
    <w:rsid w:val="006B4A37"/>
    <w:rsid w:val="006D6FE7"/>
    <w:rsid w:val="00723B0F"/>
    <w:rsid w:val="00730071"/>
    <w:rsid w:val="007334FA"/>
    <w:rsid w:val="007453F7"/>
    <w:rsid w:val="007768A7"/>
    <w:rsid w:val="007B03FD"/>
    <w:rsid w:val="007B77C5"/>
    <w:rsid w:val="00851354"/>
    <w:rsid w:val="00855388"/>
    <w:rsid w:val="00871C8C"/>
    <w:rsid w:val="008B7AB7"/>
    <w:rsid w:val="008E1AFF"/>
    <w:rsid w:val="00916E8A"/>
    <w:rsid w:val="00933DBC"/>
    <w:rsid w:val="009B3CF0"/>
    <w:rsid w:val="009F56F0"/>
    <w:rsid w:val="00A06110"/>
    <w:rsid w:val="00AC5994"/>
    <w:rsid w:val="00AD4F89"/>
    <w:rsid w:val="00B414AF"/>
    <w:rsid w:val="00B625EE"/>
    <w:rsid w:val="00B62EEF"/>
    <w:rsid w:val="00B75EAE"/>
    <w:rsid w:val="00BB211C"/>
    <w:rsid w:val="00BC2575"/>
    <w:rsid w:val="00BE0D3E"/>
    <w:rsid w:val="00C33426"/>
    <w:rsid w:val="00C61F27"/>
    <w:rsid w:val="00CB178D"/>
    <w:rsid w:val="00CC60CA"/>
    <w:rsid w:val="00CE4800"/>
    <w:rsid w:val="00CF7A27"/>
    <w:rsid w:val="00D150DF"/>
    <w:rsid w:val="00D2738D"/>
    <w:rsid w:val="00D7030F"/>
    <w:rsid w:val="00D874B8"/>
    <w:rsid w:val="00DA7585"/>
    <w:rsid w:val="00DF0457"/>
    <w:rsid w:val="00E7212A"/>
    <w:rsid w:val="00F27507"/>
    <w:rsid w:val="00F320E6"/>
    <w:rsid w:val="00F54FBB"/>
    <w:rsid w:val="00F73B0A"/>
    <w:rsid w:val="00FB613B"/>
    <w:rsid w:val="00FD5EF7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1">
    <w:name w:val="Пункт 3"/>
    <w:basedOn w:val="3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13CC-724F-4E70-83F3-6130EA14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25</Pages>
  <Words>9506</Words>
  <Characters>54190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4</cp:revision>
  <dcterms:created xsi:type="dcterms:W3CDTF">2024-08-23T06:57:00Z</dcterms:created>
  <dcterms:modified xsi:type="dcterms:W3CDTF">2024-08-26T09:42:00Z</dcterms:modified>
</cp:coreProperties>
</file>