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A2" w:rsidRDefault="007E1EA2">
      <w:pPr>
        <w:pStyle w:val="ConsPlusNormal"/>
        <w:jc w:val="both"/>
        <w:outlineLvl w:val="0"/>
      </w:pPr>
      <w:bookmarkStart w:id="0" w:name="_GoBack"/>
      <w:bookmarkEnd w:id="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E1EA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E1EA2" w:rsidRDefault="007E1EA2">
            <w:pPr>
              <w:pStyle w:val="ConsPlusNormal"/>
            </w:pPr>
            <w:r>
              <w:t>1 мая 2022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E1EA2" w:rsidRDefault="007E1EA2">
            <w:pPr>
              <w:pStyle w:val="ConsPlusNormal"/>
              <w:jc w:val="right"/>
            </w:pPr>
            <w:r>
              <w:t>N 250</w:t>
            </w:r>
          </w:p>
        </w:tc>
      </w:tr>
    </w:tbl>
    <w:p w:rsidR="007E1EA2" w:rsidRDefault="007E1EA2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E1EA2" w:rsidRDefault="007E1EA2">
      <w:pPr>
        <w:pStyle w:val="ConsPlusNormal"/>
        <w:jc w:val="both"/>
      </w:pPr>
    </w:p>
    <w:p w:rsidR="007E1EA2" w:rsidRDefault="007E1EA2">
      <w:pPr>
        <w:pStyle w:val="ConsPlusTitle"/>
        <w:jc w:val="center"/>
      </w:pPr>
      <w:r>
        <w:t>УКАЗ</w:t>
      </w:r>
    </w:p>
    <w:p w:rsidR="007E1EA2" w:rsidRDefault="007E1EA2">
      <w:pPr>
        <w:pStyle w:val="ConsPlusTitle"/>
        <w:jc w:val="center"/>
      </w:pPr>
    </w:p>
    <w:p w:rsidR="007E1EA2" w:rsidRDefault="007E1EA2">
      <w:pPr>
        <w:pStyle w:val="ConsPlusTitle"/>
        <w:jc w:val="center"/>
      </w:pPr>
      <w:r>
        <w:t>ПРЕЗИДЕНТА РОССИЙСКОЙ ФЕДЕРАЦИИ</w:t>
      </w:r>
    </w:p>
    <w:p w:rsidR="007E1EA2" w:rsidRDefault="007E1EA2">
      <w:pPr>
        <w:pStyle w:val="ConsPlusTitle"/>
        <w:jc w:val="center"/>
      </w:pPr>
    </w:p>
    <w:p w:rsidR="007E1EA2" w:rsidRDefault="007E1EA2">
      <w:pPr>
        <w:pStyle w:val="ConsPlusTitle"/>
        <w:jc w:val="center"/>
      </w:pPr>
      <w:r>
        <w:t>О ДОПОЛНИТЕЛЬНЫХ МЕРАХ</w:t>
      </w:r>
    </w:p>
    <w:p w:rsidR="007E1EA2" w:rsidRDefault="007E1EA2">
      <w:pPr>
        <w:pStyle w:val="ConsPlusTitle"/>
        <w:jc w:val="center"/>
      </w:pPr>
      <w:r>
        <w:t>ПО ОБЕСПЕЧЕНИЮ ИНФОРМАЦИОННОЙ БЕЗОПАСНОСТИ</w:t>
      </w:r>
    </w:p>
    <w:p w:rsidR="007E1EA2" w:rsidRDefault="007E1EA2">
      <w:pPr>
        <w:pStyle w:val="ConsPlusTitle"/>
        <w:jc w:val="center"/>
      </w:pPr>
      <w:r>
        <w:t>РОССИЙСКОЙ ФЕДЕРАЦИИ</w:t>
      </w:r>
    </w:p>
    <w:p w:rsidR="007E1EA2" w:rsidRDefault="007E1EA2">
      <w:pPr>
        <w:pStyle w:val="ConsPlusNormal"/>
        <w:jc w:val="center"/>
      </w:pPr>
    </w:p>
    <w:p w:rsidR="007E1EA2" w:rsidRDefault="007E1EA2">
      <w:pPr>
        <w:pStyle w:val="ConsPlusNormal"/>
        <w:ind w:firstLine="540"/>
        <w:jc w:val="both"/>
      </w:pPr>
      <w:r>
        <w:t>В целях повышения устойчивости и безопасности функционирования информационных ресурсов Российской Федерации постановляю: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1. Руководителям федеральных органов исполнительной власти, высших исполнительных органов государственной власти субъектов Российской Федерации, государственных фондов, государственных корпораций (компаний) и иных организаций, созданных на основании федеральных законов, стратегических предприятий, стратегических акционерных обществ и системообразующих организаций российской экономики, юридических лиц, являющихся субъектами критической информационной инфраструктуры Российской Федерации (далее - органы (организации):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а) возложить на заместителя руководителя органа (организации) полномочия по обеспечению информационной безопасности органа (организации), в том числе по обнаружению, предупреждению и ликвидации последствий компьютерных атак и реагированию на компьютерные инциденты;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б) создать в органе (организации) структурное подразделение, осуществляющее функции по обеспечению информационной безопасности органа (организации), в том числе по обнаружению, предупреждению и ликвидации последствий компьютерных атак и реагированию на компьютерные инциденты, либо возложить данные функции на существующее структурное подразделение;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в) принимать в случае необходимости решения о привлечении организаций к осуществлению мероприятий по обеспечению информационной безопасности органа (организации). При этом могут привлекаться исключительно организации, имеющие лицензии на осуществление деятельности по технической защите конфиденциальной информации;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 xml:space="preserve">г) принимать в случае необходимости решения о привлечении организаций к осуществлению мероприятий по обнаружению, предупреждению и ликвидации последствий компьютерных атак и реагированию на компьютерные инциденты. При этом могут привлекаться исключительно организации, являющиеся аккредитованными центрами государственной системы обнаружения, предупреждения и ликвидации последствий компьютерных атак на информационные ресурсы Российской Федерации, за исключением случая, предусмотренного </w:t>
      </w:r>
      <w:hyperlink w:anchor="P29">
        <w:r>
          <w:rPr>
            <w:color w:val="0000FF"/>
          </w:rPr>
          <w:t>подпунктом "б" пункта 5</w:t>
        </w:r>
      </w:hyperlink>
      <w:r>
        <w:t xml:space="preserve"> настоящего Указа;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 xml:space="preserve">д) обеспечивать должностным лицам органов федеральной службы безопасности беспрепятственный доступ (в том числе удаленный) к принадлежащим органам (организациям) либо используемым ими информационным ресурсам, доступ к которым обеспечивается посредством использования информационно-телекоммуникационной сети "Интернет", в целях осуществления мониторинга, предусмотренного </w:t>
      </w:r>
      <w:hyperlink w:anchor="P30">
        <w:r>
          <w:rPr>
            <w:color w:val="0000FF"/>
          </w:rPr>
          <w:t>подпунктом "в" пункта 5</w:t>
        </w:r>
      </w:hyperlink>
      <w:r>
        <w:t xml:space="preserve"> настоящего Указа, а также обеспечивать исполнение указаний, данных органами федеральной службы безопасности по результатам такого мониторинга;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lastRenderedPageBreak/>
        <w:t>е) обеспечивать незамедлительную реализацию организационных и технических мер, решения о необходимости осуществления которых принимаются Федеральной службой безопасности Российской Федерации и Федеральной службой по техническому и экспортному контролю в пределах их компетенции и направляются на регулярной основе в органы (организации) с учетом меняющихся угроз в информационной сфере.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2. Возложить на руководителей органов (организаций) персональную ответственность за обеспечение информационной безопасности соответствующих органов (организаций).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3. Правительству Российской Федерации в месячный срок: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а) утвердить: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 xml:space="preserve">типовое </w:t>
      </w:r>
      <w:hyperlink r:id="rId4">
        <w:r>
          <w:rPr>
            <w:color w:val="0000FF"/>
          </w:rPr>
          <w:t>положение</w:t>
        </w:r>
      </w:hyperlink>
      <w:r>
        <w:t xml:space="preserve"> о заместителе руководителя органа (организации), ответственного за обеспечение информационной безопасности органа (организации);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 xml:space="preserve">типовое </w:t>
      </w:r>
      <w:hyperlink r:id="rId5">
        <w:r>
          <w:rPr>
            <w:color w:val="0000FF"/>
          </w:rPr>
          <w:t>положение</w:t>
        </w:r>
      </w:hyperlink>
      <w:r>
        <w:t xml:space="preserve"> о структурном подразделении органа (организации), обеспечивающем информационную безопасность органа (организации);</w:t>
      </w:r>
    </w:p>
    <w:p w:rsidR="007E1EA2" w:rsidRDefault="007E1EA2">
      <w:pPr>
        <w:pStyle w:val="ConsPlusNormal"/>
        <w:spacing w:before="220"/>
        <w:ind w:firstLine="540"/>
        <w:jc w:val="both"/>
      </w:pPr>
      <w:bookmarkStart w:id="1" w:name="P25"/>
      <w:bookmarkEnd w:id="1"/>
      <w:r>
        <w:t xml:space="preserve">б) определить </w:t>
      </w:r>
      <w:hyperlink r:id="rId6">
        <w:r>
          <w:rPr>
            <w:color w:val="0000FF"/>
          </w:rPr>
          <w:t>перечень</w:t>
        </w:r>
      </w:hyperlink>
      <w:r>
        <w:t xml:space="preserve"> ключевых органов (организаций), которым необходимо осуществить мероприятия по оценке уровня защищенности своих информационных систем с привлечением организаций, имеющих соответствующие лицензии Федеральной службы безопасности Российской Федерации и Федеральной службы по техническому и экспортному контролю.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 xml:space="preserve">4. Органам (организациям), включенным в перечень, определенный в соответствии с </w:t>
      </w:r>
      <w:hyperlink w:anchor="P25">
        <w:r>
          <w:rPr>
            <w:color w:val="0000FF"/>
          </w:rPr>
          <w:t>подпунктом "б" пункта 3</w:t>
        </w:r>
      </w:hyperlink>
      <w:r>
        <w:t xml:space="preserve"> настоящего Указа, осуществить мероприятия по оценке уровня защищенности своих информационных систем и до 1 июля 2022 г. представить доклад в Правительство Российской Федерации.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5. Федеральной службе безопасности Российской Федерации: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а) организовать аккредитацию центров государственной системы обнаружения, предупреждения и ликвидации последствий компьютерных атак на информационные ресурсы Российской Федерации;</w:t>
      </w:r>
    </w:p>
    <w:p w:rsidR="007E1EA2" w:rsidRDefault="007E1EA2">
      <w:pPr>
        <w:pStyle w:val="ConsPlusNormal"/>
        <w:spacing w:before="220"/>
        <w:ind w:firstLine="540"/>
        <w:jc w:val="both"/>
      </w:pPr>
      <w:bookmarkStart w:id="2" w:name="P29"/>
      <w:bookmarkEnd w:id="2"/>
      <w:r>
        <w:t xml:space="preserve">б) определить </w:t>
      </w:r>
      <w:hyperlink r:id="rId7">
        <w:r>
          <w:rPr>
            <w:color w:val="0000FF"/>
          </w:rPr>
          <w:t>переходный период</w:t>
        </w:r>
      </w:hyperlink>
      <w:r>
        <w:t>, в течение которого допускается осуществлять мероприятия по обнаружению, предупреждению и ликвидации последствий компьютерных атак и реагированию на компьютерные инциденты в интересах органов (организаций) на основании заключенных с Федеральной службой безопасности Российской Федерации (Национальным координационным центром по компьютерным инцидентам) соглашений о сотрудничестве (взаимодействии) в области обнаружения, предупреждения и ликвидации последствий компьютерных атак и реагирования на компьютерные инциденты;</w:t>
      </w:r>
    </w:p>
    <w:p w:rsidR="007E1EA2" w:rsidRDefault="007E1EA2">
      <w:pPr>
        <w:pStyle w:val="ConsPlusNormal"/>
        <w:spacing w:before="220"/>
        <w:ind w:firstLine="540"/>
        <w:jc w:val="both"/>
      </w:pPr>
      <w:bookmarkStart w:id="3" w:name="P30"/>
      <w:bookmarkEnd w:id="3"/>
      <w:r>
        <w:t xml:space="preserve">в) определить </w:t>
      </w:r>
      <w:hyperlink r:id="rId8">
        <w:r>
          <w:rPr>
            <w:color w:val="0000FF"/>
          </w:rPr>
          <w:t>порядок</w:t>
        </w:r>
      </w:hyperlink>
      <w:r>
        <w:t xml:space="preserve"> осуществления мониторинга защищенности информационных ресурсов, принадлежащих органам (организациям) либо используемых ими, и осуществлять такой мониторинг.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6. Установить, что с 1 января 2025 г. органам (организациям) запрещается использовать средства защиты информации, странами происхождения которых являются иностранные государства, совершающие в отношении Российской Федерации, российских юридических лиц и физических лиц недружественные действия, либо производителями которых являются организации, находящиеся под юрисдикцией таких иностранных государств, прямо или косвенно подконтрольные им либо аффилированные с ними.</w:t>
      </w:r>
    </w:p>
    <w:p w:rsidR="007E1EA2" w:rsidRDefault="007E1EA2">
      <w:pPr>
        <w:pStyle w:val="ConsPlusNormal"/>
        <w:spacing w:before="220"/>
        <w:ind w:firstLine="540"/>
        <w:jc w:val="both"/>
      </w:pPr>
      <w:r>
        <w:t>7. Настоящий Указ вступает в силу со дня его официального опубликования.</w:t>
      </w:r>
    </w:p>
    <w:p w:rsidR="007E1EA2" w:rsidRDefault="007E1EA2">
      <w:pPr>
        <w:pStyle w:val="ConsPlusNormal"/>
        <w:ind w:firstLine="540"/>
        <w:jc w:val="both"/>
      </w:pPr>
    </w:p>
    <w:p w:rsidR="007E1EA2" w:rsidRDefault="007E1EA2">
      <w:pPr>
        <w:pStyle w:val="ConsPlusNormal"/>
        <w:jc w:val="right"/>
      </w:pPr>
      <w:r>
        <w:t>Президент</w:t>
      </w:r>
    </w:p>
    <w:p w:rsidR="007E1EA2" w:rsidRDefault="007E1EA2">
      <w:pPr>
        <w:pStyle w:val="ConsPlusNormal"/>
        <w:jc w:val="right"/>
      </w:pPr>
      <w:r>
        <w:t>Российской Федерации</w:t>
      </w:r>
    </w:p>
    <w:p w:rsidR="007E1EA2" w:rsidRDefault="007E1EA2">
      <w:pPr>
        <w:pStyle w:val="ConsPlusNormal"/>
        <w:jc w:val="right"/>
      </w:pPr>
      <w:r>
        <w:t>В.ПУТИН</w:t>
      </w:r>
    </w:p>
    <w:p w:rsidR="007E1EA2" w:rsidRDefault="007E1EA2">
      <w:pPr>
        <w:pStyle w:val="ConsPlusNormal"/>
      </w:pPr>
      <w:r>
        <w:t>Москва, Кремль</w:t>
      </w:r>
    </w:p>
    <w:p w:rsidR="007E1EA2" w:rsidRDefault="007E1EA2">
      <w:pPr>
        <w:pStyle w:val="ConsPlusNormal"/>
        <w:spacing w:before="220"/>
      </w:pPr>
      <w:r>
        <w:t>1 мая 2022 года</w:t>
      </w:r>
    </w:p>
    <w:p w:rsidR="007E1EA2" w:rsidRDefault="007E1EA2">
      <w:pPr>
        <w:pStyle w:val="ConsPlusNormal"/>
        <w:spacing w:before="220"/>
      </w:pPr>
      <w:r>
        <w:t>N 250</w:t>
      </w:r>
    </w:p>
    <w:p w:rsidR="007E1EA2" w:rsidRDefault="007E1EA2">
      <w:pPr>
        <w:pStyle w:val="ConsPlusNormal"/>
      </w:pPr>
    </w:p>
    <w:p w:rsidR="007E1EA2" w:rsidRDefault="007E1EA2">
      <w:pPr>
        <w:pStyle w:val="ConsPlusNormal"/>
      </w:pPr>
    </w:p>
    <w:p w:rsidR="007E1EA2" w:rsidRDefault="007E1EA2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7550F" w:rsidRDefault="00C7550F"/>
    <w:sectPr w:rsidR="00C7550F" w:rsidSect="0096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A2"/>
    <w:rsid w:val="007E1EA2"/>
    <w:rsid w:val="00882393"/>
    <w:rsid w:val="00C7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BAA1D-F7B5-4812-979E-CFF63A9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E1EA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7E1EA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7E1EA2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6A2C3296D27F1C960E9D0142A0268371F7C778CEF0096E35B6CAAD1EF7AF38C006778863364132880FD261C3C616BB3E49355EC8C62E6D7q0v3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6A2C3296D27F1C960E9D0142A0268371F7B7C8AE80596E35B6CAAD1EF7AF38C006778863364132881FD261C3C616BB3E49355EC8C62E6D7q0v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6A2C3296D27F1C960E9D0142A0268371F7C798CE90296E35B6CAAD1EF7AF38C00677886336413288FFD261C3C616BB3E49355EC8C62E6D7q0v3E" TargetMode="External"/><Relationship Id="rId5" Type="http://schemas.openxmlformats.org/officeDocument/2006/relationships/hyperlink" Target="consultantplus://offline/ref=F6A2C3296D27F1C960E9D0142A0268371F7A7D8FEC0796E35B6CAAD1EF7AF38C006778863364122B8AFD261C3C616BB3E49355EC8C62E6D7q0v3E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F6A2C3296D27F1C960E9D0142A0268371F7A7D8FEC0796E35B6CAAD1EF7AF38C006778863364132989FD261C3C616BB3E49355EC8C62E6D7q0v3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sisadmin</dc:creator>
  <cp:lastModifiedBy>Куличенко Виктор Степанович</cp:lastModifiedBy>
  <cp:revision>2</cp:revision>
  <dcterms:created xsi:type="dcterms:W3CDTF">2024-07-08T07:48:00Z</dcterms:created>
  <dcterms:modified xsi:type="dcterms:W3CDTF">2024-07-08T07:48:00Z</dcterms:modified>
</cp:coreProperties>
</file>