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“SQLBAS03 OK” (LAMINAS 1 A 16) UTILIZANDO LAS TABLAS IBMUSER.EMP E IBMUSER.DEPT Y CAPTURANDO PARA CADA CASO 2 PANTALLAS: PANTALLA CON LA CODIFICACIÓN DEL QUERY Y PANTALLA CON LA SALIDA DE LA EJECUCIÓN DEL QUERY (INCLUYENDO POSIBLES PANTALLAS DE ERROR).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00663" cy="3482241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8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70536" cy="34878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536" cy="348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38763" cy="35032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5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85857" cy="348705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57" cy="348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768975" cy="378989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78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595938" cy="388606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88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173990" cy="404189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990" cy="404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07075" cy="380686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80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26075" cy="352694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52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27675" cy="36160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616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07075" cy="376653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76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95975" cy="38405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4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92775" cy="336031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36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858000" cy="40513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16575" cy="3313864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31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81675" cy="3412794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1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40375" cy="327036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27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91175" cy="330034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0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008742" cy="3546827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742" cy="354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97575" cy="354023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54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9.png"/><Relationship Id="rId21" Type="http://schemas.openxmlformats.org/officeDocument/2006/relationships/image" Target="media/image17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4T7wkhfopgl278vNonPiw790tg==">AMUW2mVpK/henXxBjYDYHkmyALJWuBlnAA2pXUzdA7BuM+l8s1HUbltFnJmzBU1HJTzC7AsC/5ldgAZbt4z+B7n1b4BthSaCvwqYtAEXx9KxaVZ6pBwLhPA=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