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olor w:val="555555"/>
          <w:sz w:val="20"/>
          <w:szCs w:val="20"/>
        </w:rPr>
        <w:t xml:space="preserve">IT FOR BANKING</w:t>
      </w:r>
    </w:p>
    <w:p>
      <w:pPr>
        <w:spacing w:after="60" w:before="0" w:line="276"/>
      </w:pPr>
      <w:r>
        <w:rPr>
          <w:rFonts w:ascii="Calibri" w:cs="Calibri" w:eastAsia="Calibri" w:hAnsi="Calibri"/>
          <w:b/>
          <w:bCs/>
          <w:color w:val="1F4E79"/>
          <w:sz w:val="40"/>
          <w:szCs w:val="40"/>
        </w:rPr>
        <w:t xml:space="preserve">Proyecto Final Integrador</w:t>
      </w:r>
    </w:p>
    <w:p>
      <w:pPr>
        <w:spacing w:after="40" w:before="0" w:line="276"/>
      </w:pPr>
      <w:r>
        <w:rPr>
          <w:rFonts w:ascii="Calibri" w:cs="Calibri" w:eastAsia="Calibri" w:hAnsi="Calibri"/>
          <w:color w:val="333333"/>
          <w:sz w:val="24"/>
          <w:szCs w:val="24"/>
        </w:rPr>
        <w:t xml:space="preserve">BancoCloud Interbank Digital Andino — alerta temprana de mora y cobranza priorizada</w:t>
      </w:r>
    </w:p>
    <w:p>
      <w:pPr>
        <w:spacing w:after="260" w:before="0" w:line="276"/>
      </w:pPr>
      <w:r>
        <w:rPr>
          <w:rFonts w:ascii="Calibri" w:cs="Calibri" w:eastAsia="Calibri" w:hAnsi="Calibri"/>
          <w:i/>
          <w:iCs/>
          <w:color w:val="555555"/>
          <w:sz w:val="21"/>
          <w:szCs w:val="21"/>
        </w:rPr>
        <w:t xml:space="preserve">Caso: banca digital peruana · base de datos, pipeline de calidad, analítica, GenAI y automatización</w:t>
      </w:r>
    </w:p>
    <w:p>
      <w:pPr>
        <w:spacing w:after="40" w:before="0" w:line="276"/>
      </w:pPr>
      <w:r>
        <w:rPr>
          <w:rFonts w:ascii="Calibri" w:cs="Calibri" w:eastAsia="Calibri" w:hAnsi="Calibri"/>
          <w:b/>
          <w:bCs/>
          <w:color w:val="1A1A1A"/>
          <w:sz w:val="26"/>
          <w:szCs w:val="26"/>
        </w:rPr>
        <w:t xml:space="preserve">Guía de trabajo y reparto del equipo — versión final</w:t>
      </w:r>
    </w:p>
    <w:p>
      <w:pPr>
        <w:spacing w:after="20" w:before="0" w:line="276"/>
      </w:pPr>
      <w:r>
        <w:rPr>
          <w:rFonts w:ascii="Calibri" w:cs="Calibri" w:eastAsia="Calibri" w:hAnsi="Calibri"/>
          <w:color w:val="333333"/>
          <w:sz w:val="21"/>
          <w:szCs w:val="21"/>
        </w:rPr>
        <w:t xml:space="preserve">Jessi · Victor · Ivan</w:t>
      </w:r>
    </w:p>
    <w:p>
      <w:pPr>
        <w:spacing w:after="60" w:before="0" w:line="276"/>
      </w:pPr>
      <w:r>
        <w:rPr>
          <w:rFonts w:ascii="Calibri" w:cs="Calibri" w:eastAsia="Calibri" w:hAnsi="Calibri"/>
          <w:color w:val="555555"/>
          <w:sz w:val="21"/>
          <w:szCs w:val="21"/>
        </w:rPr>
        <w:t xml:space="preserve">4 días · sábado 26 a martes 29 de septiembre · exposición el miércoles 30</w:t>
      </w:r>
    </w:p>
    <w:p>
      <w:pPr>
        <w:spacing w:after="300" w:before="0" w:line="276"/>
      </w:pPr>
      <w:r>
        <w:rPr>
          <w:rFonts w:ascii="Calibri" w:cs="Calibri" w:eastAsia="Calibri" w:hAnsi="Calibri"/>
          <w:color w:val="555555"/>
          <w:sz w:val="21"/>
          <w:szCs w:val="21"/>
        </w:rPr>
        <w:t xml:space="preserve">Esta versión reemplaza a la guía anterior y a los anexos A y B. Todo lo que está acá se construye; no hay lista de opcionales.</w:t>
      </w:r>
    </w:p>
    <w:p>
      <w:pPr>
        <w:pStyle w:val="Heading1"/>
        <w:pBdr>
          <w:bottom w:val="single" w:color="BFD3E6" w:sz="6" w:space="6"/>
        </w:pBdr>
        <w:spacing w:after="160" w:before="400"/>
      </w:pPr>
      <w:r>
        <w:rPr>
          <w:rFonts w:ascii="Calibri" w:cs="Calibri" w:eastAsia="Calibri" w:hAnsi="Calibri"/>
          <w:b/>
          <w:bCs/>
          <w:color w:val="1F4E79"/>
          <w:sz w:val="30"/>
          <w:szCs w:val="30"/>
        </w:rPr>
        <w:t xml:space="preserve">1. Qué vamos a presentar</w:t>
      </w:r>
    </w:p>
    <w:p>
      <w:pPr>
        <w:spacing w:after="120" w:before="0" w:line="276"/>
      </w:pPr>
      <w:r>
        <w:rPr>
          <w:rFonts w:ascii="Calibri" w:cs="Calibri" w:eastAsia="Calibri" w:hAnsi="Calibri"/>
          <w:color w:val="1A1A1A"/>
          <w:sz w:val="21"/>
          <w:szCs w:val="21"/>
        </w:rPr>
        <w:t xml:space="preserve">El profesor nos observó que faltaba un caso de uso que el banco pueda aplicar: que no bastaba con mostrar que el proceso funciona, sino que había que plantear qué valor genera. Tenía razón, y esta versión de la guía está armada alrededor de esa corrección.</w:t>
      </w:r>
    </w:p>
    <w:p>
      <w:pPr>
        <w:spacing w:after="120" w:before="0" w:line="276"/>
      </w:pPr>
      <w:r>
        <w:rPr>
          <w:rFonts w:ascii="Calibri" w:cs="Calibri" w:eastAsia="Calibri" w:hAnsi="Calibri"/>
          <w:color w:val="1A1A1A"/>
          <w:sz w:val="21"/>
          <w:szCs w:val="21"/>
        </w:rPr>
        <w:t xml:space="preserve">El hilo es: </w:t>
      </w:r>
      <w:r>
        <w:rPr>
          <w:rFonts w:ascii="Calibri" w:cs="Calibri" w:eastAsia="Calibri" w:hAnsi="Calibri"/>
          <w:b/>
          <w:bCs/>
          <w:color w:val="1A1A1A"/>
          <w:sz w:val="21"/>
          <w:szCs w:val="21"/>
        </w:rPr>
        <w:t xml:space="preserve">confiamos en el dato antes de llamar al cliente</w:t>
      </w:r>
      <w:r>
        <w:rPr>
          <w:rFonts w:ascii="Calibri" w:cs="Calibri" w:eastAsia="Calibri" w:hAnsi="Calibri"/>
          <w:color w:val="1A1A1A"/>
          <w:sz w:val="21"/>
          <w:szCs w:val="21"/>
        </w:rPr>
        <w:t xml:space="preserve">. Y el resultado concreto que entregamos es una lista: a quién tiene que llamar hoy el área de cobranza, ordenada por cuánta plata está en riesgo, y de la que quedan fuera los clientes cuyo dato no pasó los controles de calidad.</w:t>
      </w:r>
    </w:p>
    <w:p>
      <w:pPr>
        <w:spacing w:after="120" w:before="0" w:line="276"/>
      </w:pPr>
      <w:r>
        <w:rPr>
          <w:rFonts w:ascii="Calibri" w:cs="Calibri" w:eastAsia="Calibri" w:hAnsi="Calibri"/>
          <w:color w:val="1A1A1A"/>
          <w:sz w:val="21"/>
          <w:szCs w:val="21"/>
        </w:rPr>
        <w:t xml:space="preserve">La presentación cuenta tres cosas, en este orden:</w:t>
      </w:r>
    </w:p>
    <w:p>
      <w:pPr>
        <w:pStyle w:val="ListParagraph"/>
        <w:numPr>
          <w:ilvl w:val="0"/>
          <w:numId w:val="2"/>
        </w:numPr>
        <w:spacing w:after="70" w:line="276"/>
      </w:pPr>
      <w:r>
        <w:rPr>
          <w:rFonts w:ascii="Calibri" w:cs="Calibri" w:eastAsia="Calibri" w:hAnsi="Calibri"/>
          <w:b/>
          <w:bCs/>
          <w:color w:val="1A1A1A"/>
          <w:sz w:val="21"/>
          <w:szCs w:val="21"/>
        </w:rPr>
        <w:t xml:space="preserve">El resultado. </w:t>
      </w:r>
      <w:r>
        <w:rPr>
          <w:rFonts w:ascii="Calibri" w:cs="Calibri" w:eastAsia="Calibri" w:hAnsi="Calibri"/>
          <w:color w:val="1A1A1A"/>
          <w:sz w:val="21"/>
          <w:szCs w:val="21"/>
        </w:rPr>
        <w:t xml:space="preserve">La lista de mañana, funcionando, con el correo llegando al analista.</w:t>
      </w:r>
    </w:p>
    <w:p>
      <w:pPr>
        <w:pStyle w:val="ListParagraph"/>
        <w:numPr>
          <w:ilvl w:val="0"/>
          <w:numId w:val="2"/>
        </w:numPr>
        <w:spacing w:after="70" w:line="276"/>
      </w:pPr>
      <w:r>
        <w:rPr>
          <w:rFonts w:ascii="Calibri" w:cs="Calibri" w:eastAsia="Calibri" w:hAnsi="Calibri"/>
          <w:b/>
          <w:bCs/>
          <w:color w:val="1A1A1A"/>
          <w:sz w:val="21"/>
          <w:szCs w:val="21"/>
        </w:rPr>
        <w:t xml:space="preserve">Por qué se puede confiar en ella. </w:t>
      </w:r>
      <w:r>
        <w:rPr>
          <w:rFonts w:ascii="Calibri" w:cs="Calibri" w:eastAsia="Calibri" w:hAnsi="Calibri"/>
          <w:color w:val="1A1A1A"/>
          <w:sz w:val="21"/>
          <w:szCs w:val="21"/>
        </w:rPr>
        <w:t xml:space="preserve">El pipeline con sus reglas de calidad, el corte automático y la cuarentena. Y más atrás, la base de datos con integridad real: ledger, idempotencia, concurrencia y seguridad por rol.</w:t>
      </w:r>
    </w:p>
    <w:p>
      <w:pPr>
        <w:pStyle w:val="ListParagraph"/>
        <w:numPr>
          <w:ilvl w:val="0"/>
          <w:numId w:val="2"/>
        </w:numPr>
        <w:spacing w:after="70" w:line="276"/>
      </w:pPr>
      <w:r>
        <w:rPr>
          <w:rFonts w:ascii="Calibri" w:cs="Calibri" w:eastAsia="Calibri" w:hAnsi="Calibri"/>
          <w:b/>
          <w:bCs/>
          <w:color w:val="1A1A1A"/>
          <w:sz w:val="21"/>
          <w:szCs w:val="21"/>
        </w:rPr>
        <w:t xml:space="preserve">Cuánto vale. </w:t>
      </w:r>
      <w:r>
        <w:rPr>
          <w:rFonts w:ascii="Calibri" w:cs="Calibri" w:eastAsia="Calibri" w:hAnsi="Calibri"/>
          <w:color w:val="1A1A1A"/>
          <w:sz w:val="21"/>
          <w:szCs w:val="21"/>
        </w:rPr>
        <w:t xml:space="preserve">La cuenta en provisiones, con las tasas de la SBS.</w:t>
      </w:r>
    </w:p>
    <w:p>
      <w:pPr>
        <w:keepNext w:val="false"/>
        <w:spacing w:after="60"/>
      </w:pPr>
    </w:p>
    <w:tbl>
      <w:tblPr>
        <w:tblW w:type="dxa" w:w="9360"/>
        <w:tblBorders>
          <w:top w:val="none" w:color="FFFFFF" w:sz="0"/>
          <w:left w:val="single" w:color="9DB6CE" w:sz="18"/>
          <w:bottom w:val="none" w:color="FFFFFF" w:sz="0"/>
          <w:right w:val="none" w:color="FFFFFF" w:sz="0"/>
          <w:insideH w:val="none" w:color="FFFFFF" w:sz="0"/>
          <w:insideV w:val="none" w:color="FFFFFF" w:sz="0"/>
        </w:tblBorders>
      </w:tblPr>
      <w:tblGrid>
        <w:gridCol w:w="9360"/>
      </w:tblGrid>
      <w:tr>
        <w:tc>
          <w:tcPr>
            <w:tcW w:type="dxa" w:w="9360"/>
            <w:shd w:fill="F2F5F8" w:val="clear"/>
            <w:tcMar>
              <w:top w:type="dxa" w:w="140"/>
              <w:left w:type="dxa" w:w="200"/>
              <w:bottom w:type="dxa" w:w="140"/>
              <w:right w:type="dxa" w:w="200"/>
            </w:tcMar>
          </w:tcPr>
          <w:p>
            <w:pPr>
              <w:spacing w:after="0" w:before="0" w:line="276"/>
            </w:pPr>
            <w:r>
              <w:rPr>
                <w:rFonts w:ascii="Calibri" w:cs="Calibri" w:eastAsia="Calibri" w:hAnsi="Calibri"/>
                <w:b/>
                <w:bCs/>
                <w:color w:val="1F4E79"/>
                <w:sz w:val="21"/>
                <w:szCs w:val="21"/>
              </w:rPr>
              <w:t xml:space="preserve">Regla del equipo: </w:t>
            </w:r>
            <w:r>
              <w:rPr>
                <w:rFonts w:ascii="Calibri" w:cs="Calibri" w:eastAsia="Calibri" w:hAnsi="Calibri"/>
                <w:color w:val="1A1A1A"/>
                <w:sz w:val="21"/>
                <w:szCs w:val="21"/>
              </w:rPr>
              <w:t xml:space="preserve">si no está en esta guía, no se programa. Se anota en una lámina y se explica. El margen real es de una hora por persona, así que el riesgo grande no es quedarnos cortos: es llegar al martes con tres cosas a medias.</w:t>
            </w:r>
          </w:p>
        </w:tc>
      </w:tr>
    </w:tbl>
    <w:p>
      <w:pPr>
        <w:keepNext w:val="false"/>
        <w:spacing w:after="160"/>
      </w:pPr>
    </w:p>
    <w:p>
      <w:pPr>
        <w:pStyle w:val="Heading1"/>
        <w:pBdr>
          <w:bottom w:val="single" w:color="BFD3E6" w:sz="6" w:space="6"/>
        </w:pBdr>
        <w:spacing w:after="160" w:before="400"/>
      </w:pPr>
      <w:r>
        <w:rPr>
          <w:rFonts w:ascii="Calibri" w:cs="Calibri" w:eastAsia="Calibri" w:hAnsi="Calibri"/>
          <w:b/>
          <w:bCs/>
          <w:color w:val="1F4E79"/>
          <w:sz w:val="30"/>
          <w:szCs w:val="30"/>
        </w:rPr>
        <w:t xml:space="preserve">2. El caso de uso: la lista de mañana</w:t>
      </w:r>
    </w:p>
    <w:p>
      <w:pPr>
        <w:spacing w:after="120" w:before="0" w:line="276"/>
      </w:pPr>
      <w:r>
        <w:rPr>
          <w:rFonts w:ascii="Calibri" w:cs="Calibri" w:eastAsia="Calibri" w:hAnsi="Calibri"/>
          <w:color w:val="1A1A1A"/>
          <w:sz w:val="21"/>
          <w:szCs w:val="21"/>
        </w:rPr>
        <w:t xml:space="preserve">Nombre formal: </w:t>
      </w:r>
      <w:r>
        <w:rPr>
          <w:rFonts w:ascii="Calibri" w:cs="Calibri" w:eastAsia="Calibri" w:hAnsi="Calibri"/>
          <w:b/>
          <w:bCs/>
          <w:color w:val="1A1A1A"/>
          <w:sz w:val="21"/>
          <w:szCs w:val="21"/>
        </w:rPr>
        <w:t xml:space="preserve">alerta temprana de mora y cobranza priorizada</w:t>
      </w:r>
      <w:r>
        <w:rPr>
          <w:rFonts w:ascii="Calibri" w:cs="Calibri" w:eastAsia="Calibri" w:hAnsi="Calibri"/>
          <w:color w:val="1A1A1A"/>
          <w:sz w:val="21"/>
          <w:szCs w:val="21"/>
        </w:rPr>
        <w:t xml:space="preserve">. Todos los días, a primera hora, el sistema le entrega al área de cobranza los créditos que hay que contactar, con el motivo y la acción recomendada.</w:t>
      </w:r>
    </w:p>
    <w:p>
      <w:pPr>
        <w:pStyle w:val="Heading2"/>
        <w:spacing w:after="100" w:before="280"/>
      </w:pPr>
      <w:r>
        <w:rPr>
          <w:rFonts w:ascii="Calibri" w:cs="Calibri" w:eastAsia="Calibri" w:hAnsi="Calibri"/>
          <w:b/>
          <w:bCs/>
          <w:color w:val="1F4E79"/>
          <w:sz w:val="24"/>
          <w:szCs w:val="24"/>
        </w:rPr>
        <w:t xml:space="preserve">2.1 El flujo diario</w:t>
      </w:r>
    </w:p>
    <w:p>
      <w:pPr>
        <w:pStyle w:val="ListParagraph"/>
        <w:numPr>
          <w:ilvl w:val="0"/>
          <w:numId w:val="3"/>
        </w:numPr>
        <w:spacing w:after="70" w:line="276"/>
      </w:pPr>
      <w:r>
        <w:rPr>
          <w:rFonts w:ascii="Calibri" w:cs="Calibri" w:eastAsia="Calibri" w:hAnsi="Calibri"/>
          <w:color w:val="1A1A1A"/>
          <w:sz w:val="21"/>
          <w:szCs w:val="21"/>
        </w:rPr>
        <w:t xml:space="preserve">El pipeline deja en Gold la foto del día: créditos, cuotas vencidas, pagos aplicados y el movimiento transaccional de cada cliente.</w:t>
      </w:r>
    </w:p>
    <w:p>
      <w:pPr>
        <w:pStyle w:val="ListParagraph"/>
        <w:numPr>
          <w:ilvl w:val="0"/>
          <w:numId w:val="3"/>
        </w:numPr>
        <w:spacing w:after="70" w:line="276"/>
      </w:pPr>
      <w:r>
        <w:rPr>
          <w:rFonts w:ascii="Calibri" w:cs="Calibri" w:eastAsia="Calibri" w:hAnsi="Calibri"/>
          <w:color w:val="1A1A1A"/>
          <w:sz w:val="21"/>
          <w:szCs w:val="21"/>
        </w:rPr>
        <w:t xml:space="preserve">Una vista calcula, para cada crédito vigente, el saldo expuesto y un puntaje de riesgo explicable.</w:t>
      </w:r>
    </w:p>
    <w:p>
      <w:pPr>
        <w:pStyle w:val="ListParagraph"/>
        <w:numPr>
          <w:ilvl w:val="0"/>
          <w:numId w:val="3"/>
        </w:numPr>
        <w:spacing w:after="70" w:line="276"/>
      </w:pPr>
      <w:r>
        <w:rPr>
          <w:rFonts w:ascii="Calibri" w:cs="Calibri" w:eastAsia="Calibri" w:hAnsi="Calibri"/>
          <w:color w:val="1A1A1A"/>
          <w:sz w:val="21"/>
          <w:szCs w:val="21"/>
        </w:rPr>
        <w:t xml:space="preserve">Se descartan los créditos cuyo dato quedó en cuarentena: van a una lista aparte, «no contactar, dato en revisión».</w:t>
      </w:r>
    </w:p>
    <w:p>
      <w:pPr>
        <w:pStyle w:val="ListParagraph"/>
        <w:numPr>
          <w:ilvl w:val="0"/>
          <w:numId w:val="3"/>
        </w:numPr>
        <w:spacing w:after="70" w:line="276"/>
      </w:pPr>
      <w:r>
        <w:rPr>
          <w:rFonts w:ascii="Calibri" w:cs="Calibri" w:eastAsia="Calibri" w:hAnsi="Calibri"/>
          <w:color w:val="1A1A1A"/>
          <w:sz w:val="21"/>
          <w:szCs w:val="21"/>
        </w:rPr>
        <w:t xml:space="preserve">La prioridad es el saldo expuesto por el puntaje: primero lo que cuesta más caro si se cae.</w:t>
      </w:r>
    </w:p>
    <w:p>
      <w:pPr>
        <w:pStyle w:val="ListParagraph"/>
        <w:numPr>
          <w:ilvl w:val="0"/>
          <w:numId w:val="3"/>
        </w:numPr>
        <w:spacing w:after="70" w:line="276"/>
      </w:pPr>
      <w:r>
        <w:rPr>
          <w:rFonts w:ascii="Calibri" w:cs="Calibri" w:eastAsia="Calibri" w:hAnsi="Calibri"/>
          <w:color w:val="1A1A1A"/>
          <w:sz w:val="21"/>
          <w:szCs w:val="21"/>
        </w:rPr>
        <w:t xml:space="preserve">Según el puntaje, cada caso recibe una acción distinta, porque no todos merecen el mismo gasto.</w:t>
      </w:r>
    </w:p>
    <w:p>
      <w:pPr>
        <w:pStyle w:val="ListParagraph"/>
        <w:numPr>
          <w:ilvl w:val="0"/>
          <w:numId w:val="3"/>
        </w:numPr>
        <w:spacing w:after="70" w:line="276"/>
      </w:pPr>
      <w:r>
        <w:rPr>
          <w:rFonts w:ascii="Calibri" w:cs="Calibri" w:eastAsia="Calibri" w:hAnsi="Calibri"/>
          <w:color w:val="1A1A1A"/>
          <w:sz w:val="21"/>
          <w:szCs w:val="21"/>
        </w:rPr>
        <w:t xml:space="preserve">Power Automate manda la lista al analista, y en los casos leves un recordatorio al cliente con su estado de cuenta en PDF.</w:t>
      </w:r>
    </w:p>
    <w:p>
      <w:pPr>
        <w:pStyle w:val="ListParagraph"/>
        <w:numPr>
          <w:ilvl w:val="0"/>
          <w:numId w:val="3"/>
        </w:numPr>
        <w:spacing w:after="70" w:line="276"/>
      </w:pPr>
      <w:r>
        <w:rPr>
          <w:rFonts w:ascii="Calibri" w:cs="Calibri" w:eastAsia="Calibri" w:hAnsi="Calibri"/>
          <w:color w:val="1A1A1A"/>
          <w:sz w:val="21"/>
          <w:szCs w:val="21"/>
        </w:rPr>
        <w:t xml:space="preserve">El gestor registra en una app qué pasó en cada contacto, y eso cierra el ciclo de medición.</w:t>
      </w:r>
    </w:p>
    <w:p>
      <w:pPr>
        <w:pStyle w:val="Heading2"/>
        <w:spacing w:after="100" w:before="280"/>
      </w:pPr>
      <w:r>
        <w:rPr>
          <w:rFonts w:ascii="Calibri" w:cs="Calibri" w:eastAsia="Calibri" w:hAnsi="Calibri"/>
          <w:b/>
          <w:bCs/>
          <w:color w:val="1F4E79"/>
          <w:sz w:val="24"/>
          <w:szCs w:val="24"/>
        </w:rPr>
        <w:t xml:space="preserve">2.2 El puntaje, en lenguaje de negocio</w:t>
      </w:r>
    </w:p>
    <w:p>
      <w:pPr>
        <w:spacing w:after="120" w:before="0" w:line="276"/>
      </w:pPr>
      <w:r>
        <w:rPr>
          <w:rFonts w:ascii="Calibri" w:cs="Calibri" w:eastAsia="Calibri" w:hAnsi="Calibri"/>
          <w:color w:val="1A1A1A"/>
          <w:sz w:val="21"/>
          <w:szCs w:val="21"/>
        </w:rPr>
        <w:t xml:space="preserve">No usamos un modelo entrenado, y es a propósito: una decisión de cobranza tiene que poder explicarse al cliente y al regulador. Son señales sumadas, con pesos que el banco calibra después con su propia historia.</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4700"/>
        <w:gridCol w:w="1300"/>
        <w:gridCol w:w="3360"/>
      </w:tblGrid>
      <w:tr>
        <w:trPr>
          <w:tblHeader/>
        </w:trPr>
        <w:tc>
          <w:tcPr>
            <w:tcW w:type="dxa" w:w="47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Señal</w:t>
            </w:r>
          </w:p>
        </w:tc>
        <w:tc>
          <w:tcPr>
            <w:tcW w:type="dxa" w:w="13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Puntos</w:t>
            </w:r>
          </w:p>
        </w:tc>
        <w:tc>
          <w:tcPr>
            <w:tcW w:type="dxa" w:w="33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Por qué</w:t>
            </w:r>
          </w:p>
        </w:tc>
      </w:tr>
      <w:tr>
        <w:tc>
          <w:tcPr>
            <w:tcW w:type="dxa" w:w="4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Entre 1 y 8 días de atraso</w:t>
            </w:r>
          </w:p>
        </w:tc>
        <w:tc>
          <w:tcPr>
            <w:tcW w:type="dxa" w:w="1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+10</w:t>
            </w:r>
          </w:p>
        </w:tc>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Todavía es categoría Normal; casi siempre es un olvido</w:t>
            </w:r>
          </w:p>
        </w:tc>
      </w:tr>
      <w:tr>
        <w:tc>
          <w:tcPr>
            <w:tcW w:type="dxa" w:w="4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Entre 9 y 30 días</w:t>
            </w:r>
          </w:p>
        </w:tc>
        <w:tc>
          <w:tcPr>
            <w:tcW w:type="dxa" w:w="1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+35</w:t>
            </w:r>
          </w:p>
        </w:tc>
        <w:tc>
          <w:tcPr>
            <w:tcW w:type="dxa" w:w="3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Problemas potenciales: acá es donde conviene actuar</w:t>
            </w:r>
          </w:p>
        </w:tc>
      </w:tr>
      <w:tr>
        <w:tc>
          <w:tcPr>
            <w:tcW w:type="dxa" w:w="4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Entre 31 y 60 días</w:t>
            </w:r>
          </w:p>
        </w:tc>
        <w:tc>
          <w:tcPr>
            <w:tcW w:type="dxa" w:w="1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+60</w:t>
            </w:r>
          </w:p>
        </w:tc>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Ya rodó y la provisión ya subió; es recuperación, no prevención</w:t>
            </w:r>
          </w:p>
        </w:tc>
      </w:tr>
      <w:tr>
        <w:tc>
          <w:tcPr>
            <w:tcW w:type="dxa" w:w="4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Cada cuota impaga en los últimos 6 meses</w:t>
            </w:r>
          </w:p>
        </w:tc>
        <w:tc>
          <w:tcPr>
            <w:tcW w:type="dxa" w:w="1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+5 (tope 20)</w:t>
            </w:r>
          </w:p>
        </w:tc>
        <w:tc>
          <w:tcPr>
            <w:tcW w:type="dxa" w:w="3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patrón pesa más que el atraso puntual</w:t>
            </w:r>
          </w:p>
        </w:tc>
      </w:tr>
      <w:tr>
        <w:tc>
          <w:tcPr>
            <w:tcW w:type="dxa" w:w="4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Ingresos de los últimos 30 días por debajo del 60 % de su promedio</w:t>
            </w:r>
          </w:p>
        </w:tc>
        <w:tc>
          <w:tcPr>
            <w:tcW w:type="dxa" w:w="1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+20</w:t>
            </w:r>
          </w:p>
        </w:tc>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Deterioro que se ve en las transacciones antes que en la cuota</w:t>
            </w:r>
          </w:p>
        </w:tc>
      </w:tr>
      <w:tr>
        <w:tc>
          <w:tcPr>
            <w:tcW w:type="dxa" w:w="4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Línea de tarjeta usada por encima del 90 %</w:t>
            </w:r>
          </w:p>
        </w:tc>
        <w:tc>
          <w:tcPr>
            <w:tcW w:type="dxa" w:w="1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+10</w:t>
            </w:r>
          </w:p>
        </w:tc>
        <w:tc>
          <w:tcPr>
            <w:tcW w:type="dxa" w:w="3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cliente ya se está financiando con el cupo</w:t>
            </w:r>
          </w:p>
        </w:tc>
      </w:tr>
      <w:tr>
        <w:tc>
          <w:tcPr>
            <w:tcW w:type="dxa" w:w="4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Es la primera vez que se atrasa</w:t>
            </w:r>
          </w:p>
        </w:tc>
        <w:tc>
          <w:tcPr>
            <w:tcW w:type="dxa" w:w="1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Suele corregirse solo; basta un recordatorio barato</w:t>
            </w:r>
          </w:p>
        </w:tc>
      </w:tr>
      <w:tr>
        <w:tc>
          <w:tcPr>
            <w:tcW w:type="dxa" w:w="4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cliente ya se comprometió a pagar (lo dice la nota de gestión)</w:t>
            </w:r>
          </w:p>
        </w:tc>
        <w:tc>
          <w:tcPr>
            <w:tcW w:type="dxa" w:w="1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w:t>
            </w:r>
          </w:p>
        </w:tc>
        <w:tc>
          <w:tcPr>
            <w:tcW w:type="dxa" w:w="3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No tiene sentido volver a llamarlo antes de esa fecha</w:t>
            </w:r>
          </w:p>
        </w:tc>
      </w:tr>
    </w:tbl>
    <w:p>
      <w:pPr>
        <w:keepNext w:val="false"/>
        <w:spacing w:after="100"/>
      </w:pP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1500"/>
        <w:gridCol w:w="5200"/>
        <w:gridCol w:w="2660"/>
      </w:tblGrid>
      <w:tr>
        <w:trPr>
          <w:tblHeader/>
        </w:trPr>
        <w:tc>
          <w:tcPr>
            <w:tcW w:type="dxa" w:w="15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Puntaje</w:t>
            </w:r>
          </w:p>
        </w:tc>
        <w:tc>
          <w:tcPr>
            <w:tcW w:type="dxa" w:w="52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Acción</w:t>
            </w:r>
          </w:p>
        </w:tc>
        <w:tc>
          <w:tcPr>
            <w:tcW w:type="dxa" w:w="26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Quién</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Menos de 30</w:t>
            </w:r>
          </w:p>
        </w:tc>
        <w:tc>
          <w:tcPr>
            <w:tcW w:type="dxa" w:w="5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Recordatorio automático por correo con el estado de cuenta</w:t>
            </w:r>
          </w:p>
        </w:tc>
        <w:tc>
          <w:tcPr>
            <w:tcW w:type="dxa" w:w="26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flujo, sin intervención</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Entre 30 y 60</w:t>
            </w:r>
          </w:p>
        </w:tc>
        <w:tc>
          <w:tcPr>
            <w:tcW w:type="dxa" w:w="5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Llamada del call center el mismo día</w:t>
            </w:r>
          </w:p>
        </w:tc>
        <w:tc>
          <w:tcPr>
            <w:tcW w:type="dxa" w:w="26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Analista de cobranza</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Más de 60</w:t>
            </w:r>
          </w:p>
        </w:tc>
        <w:tc>
          <w:tcPr>
            <w:tcW w:type="dxa" w:w="5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Gestor asignado y evaluación de refinanciación</w:t>
            </w:r>
          </w:p>
        </w:tc>
        <w:tc>
          <w:tcPr>
            <w:tcW w:type="dxa" w:w="26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Cobranza especializada</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Dato en cuarentena</w:t>
            </w:r>
          </w:p>
        </w:tc>
        <w:tc>
          <w:tcPr>
            <w:tcW w:type="dxa" w:w="5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No se contacta. Se corrige el dato primero</w:t>
            </w:r>
          </w:p>
        </w:tc>
        <w:tc>
          <w:tcPr>
            <w:tcW w:type="dxa" w:w="26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Gobierno de datos</w:t>
            </w:r>
          </w:p>
        </w:tc>
      </w:tr>
    </w:tbl>
    <w:p>
      <w:pPr>
        <w:pStyle w:val="Heading2"/>
        <w:spacing w:after="100" w:before="280"/>
      </w:pPr>
      <w:r>
        <w:rPr>
          <w:rFonts w:ascii="Calibri" w:cs="Calibri" w:eastAsia="Calibri" w:hAnsi="Calibri"/>
          <w:b/>
          <w:bCs/>
          <w:color w:val="1F4E79"/>
          <w:sz w:val="24"/>
          <w:szCs w:val="24"/>
        </w:rPr>
        <w:t xml:space="preserve">2.3 Por qué el dato limpio vale plata</w:t>
      </w:r>
    </w:p>
    <w:p>
      <w:pPr>
        <w:spacing w:after="120" w:before="0" w:line="276"/>
      </w:pPr>
      <w:r>
        <w:rPr>
          <w:rFonts w:ascii="Calibri" w:cs="Calibri" w:eastAsia="Calibri" w:hAnsi="Calibri"/>
          <w:color w:val="1A1A1A"/>
          <w:sz w:val="21"/>
          <w:szCs w:val="21"/>
        </w:rPr>
        <w:t xml:space="preserve">Esta es la parte que responde de verdad a la observación del profesor, y quien la exponga tiene que tenerla clarísima.</w:t>
      </w:r>
    </w:p>
    <w:p>
      <w:pPr>
        <w:spacing w:after="120" w:before="0" w:line="276"/>
      </w:pPr>
      <w:r>
        <w:rPr>
          <w:rFonts w:ascii="Calibri" w:cs="Calibri" w:eastAsia="Calibri" w:hAnsi="Calibri"/>
          <w:color w:val="1A1A1A"/>
          <w:sz w:val="21"/>
          <w:szCs w:val="21"/>
        </w:rPr>
        <w:t xml:space="preserve">Llamar a un cliente para cobrarle una cuota que ya pagó no es un error técnico: es un cliente maltratado, un reclamo y, si escala, una sanción. Nuestra propia auditoría de la data encontró pagos duplicados, montos en cero, fechas futuras y créditos con saldo pendiente mayor al monto aprobado. Cualquiera de esos errores, pasado directo a una lista de cobranza, termina en una llamada indebida.</w:t>
      </w:r>
    </w:p>
    <w:p>
      <w:pPr>
        <w:keepNext w:val="false"/>
        <w:spacing w:after="60"/>
      </w:pPr>
    </w:p>
    <w:tbl>
      <w:tblPr>
        <w:tblW w:type="dxa" w:w="9360"/>
        <w:tblBorders>
          <w:top w:val="none" w:color="FFFFFF" w:sz="0"/>
          <w:left w:val="single" w:color="A78BD0" w:sz="18"/>
          <w:bottom w:val="none" w:color="FFFFFF" w:sz="0"/>
          <w:right w:val="none" w:color="FFFFFF" w:sz="0"/>
          <w:insideH w:val="none" w:color="FFFFFF" w:sz="0"/>
          <w:insideV w:val="none" w:color="FFFFFF" w:sz="0"/>
        </w:tblBorders>
      </w:tblPr>
      <w:tblGrid>
        <w:gridCol w:w="9360"/>
      </w:tblGrid>
      <w:tr>
        <w:tc>
          <w:tcPr>
            <w:tcW w:type="dxa" w:w="9360"/>
            <w:shd w:fill="F3EFFA" w:val="clear"/>
            <w:tcMar>
              <w:top w:type="dxa" w:w="140"/>
              <w:left w:type="dxa" w:w="200"/>
              <w:bottom w:type="dxa" w:w="140"/>
              <w:right w:type="dxa" w:w="200"/>
            </w:tcMar>
          </w:tcPr>
          <w:p>
            <w:pPr>
              <w:spacing w:after="0" w:before="0" w:line="276"/>
            </w:pPr>
            <w:r>
              <w:rPr>
                <w:rFonts w:ascii="Calibri" w:cs="Calibri" w:eastAsia="Calibri" w:hAnsi="Calibri"/>
                <w:b/>
                <w:bCs/>
                <w:color w:val="51377F"/>
                <w:sz w:val="21"/>
                <w:szCs w:val="21"/>
              </w:rPr>
              <w:t xml:space="preserve">La frase de la exposición: </w:t>
            </w:r>
            <w:r>
              <w:rPr>
                <w:rFonts w:ascii="Calibri" w:cs="Calibri" w:eastAsia="Calibri" w:hAnsi="Calibri"/>
                <w:color w:val="1A1A1A"/>
                <w:sz w:val="21"/>
                <w:szCs w:val="21"/>
              </w:rPr>
              <w:t xml:space="preserve">«Estos 412 créditos no están en la lista de hoy. No porque estén al día, sino porque su dato no pasó los controles. El banco prefiere no llamar antes que llamar mal.» Esa sola frase convierte el pipeline de un ejercicio técnico en un control de riesgo operacional, que es el lenguaje en que un banco evalúa un proyecto.</w:t>
            </w:r>
          </w:p>
        </w:tc>
      </w:tr>
    </w:tbl>
    <w:p>
      <w:pPr>
        <w:keepNext w:val="false"/>
        <w:spacing w:after="160"/>
      </w:pPr>
    </w:p>
    <w:p>
      <w:pPr>
        <w:pStyle w:val="Heading1"/>
        <w:pBdr>
          <w:bottom w:val="single" w:color="BFD3E6" w:sz="6" w:space="6"/>
        </w:pBdr>
        <w:spacing w:after="160" w:before="400"/>
      </w:pPr>
      <w:r>
        <w:rPr>
          <w:rFonts w:ascii="Calibri" w:cs="Calibri" w:eastAsia="Calibri" w:hAnsi="Calibri"/>
          <w:b/>
          <w:bCs/>
          <w:color w:val="1F4E79"/>
          <w:sz w:val="30"/>
          <w:szCs w:val="30"/>
        </w:rPr>
        <w:t xml:space="preserve">3. Cuánto vale</w:t>
      </w:r>
    </w:p>
    <w:p>
      <w:pPr>
        <w:spacing w:after="120" w:before="0" w:line="276"/>
      </w:pPr>
      <w:r>
        <w:rPr>
          <w:rFonts w:ascii="Calibri" w:cs="Calibri" w:eastAsia="Calibri" w:hAnsi="Calibri"/>
          <w:color w:val="1A1A1A"/>
          <w:sz w:val="21"/>
          <w:szCs w:val="21"/>
        </w:rPr>
        <w:t xml:space="preserve">Hay que ser honestos: nuestra data es simulada, así que no podemos decir que le ahorraremos tantos millones a Interbank. Lo que sí entregamos es el método y la consulta: con la cartera real, la misma consulta da el número real.</w:t>
      </w:r>
    </w:p>
    <w:p>
      <w:pPr>
        <w:spacing w:after="120" w:before="0" w:line="276"/>
      </w:pPr>
      <w:r>
        <w:rPr>
          <w:rFonts w:ascii="Calibri" w:cs="Calibri" w:eastAsia="Calibri" w:hAnsi="Calibri"/>
          <w:color w:val="1A1A1A"/>
          <w:sz w:val="21"/>
          <w:szCs w:val="21"/>
        </w:rPr>
        <w:t xml:space="preserve">La SBS fija provisiones mínimas por categoría de deudor. Para crédito de consumo sin garantías preferidas:</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3400"/>
        <w:gridCol w:w="2600"/>
        <w:gridCol w:w="3360"/>
      </w:tblGrid>
      <w:tr>
        <w:trPr>
          <w:tblHeader/>
        </w:trPr>
        <w:tc>
          <w:tcPr>
            <w:tcW w:type="dxa" w:w="34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Categoría</w:t>
            </w:r>
          </w:p>
        </w:tc>
        <w:tc>
          <w:tcPr>
            <w:tcW w:type="dxa" w:w="26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Días de atraso</w:t>
            </w:r>
          </w:p>
        </w:tc>
        <w:tc>
          <w:tcPr>
            <w:tcW w:type="dxa" w:w="33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Provisión mínima</w:t>
            </w:r>
          </w:p>
        </w:tc>
      </w:tr>
      <w:tr>
        <w:tc>
          <w:tcPr>
            <w:tcW w:type="dxa" w:w="3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Normal</w:t>
            </w:r>
          </w:p>
        </w:tc>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Hasta 8 días</w:t>
            </w:r>
          </w:p>
        </w:tc>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1 % (genérica)</w:t>
            </w:r>
          </w:p>
        </w:tc>
      </w:tr>
      <w:tr>
        <w:tc>
          <w:tcPr>
            <w:tcW w:type="dxa" w:w="3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Con problemas potenciales (CPP)</w:t>
            </w:r>
          </w:p>
        </w:tc>
        <w:tc>
          <w:tcPr>
            <w:tcW w:type="dxa" w:w="2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 9 a 30 días</w:t>
            </w:r>
          </w:p>
        </w:tc>
        <w:tc>
          <w:tcPr>
            <w:tcW w:type="dxa" w:w="3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5 %</w:t>
            </w:r>
          </w:p>
        </w:tc>
      </w:tr>
      <w:tr>
        <w:tc>
          <w:tcPr>
            <w:tcW w:type="dxa" w:w="3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Deficiente</w:t>
            </w:r>
          </w:p>
        </w:tc>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 31 a 60 días</w:t>
            </w:r>
          </w:p>
        </w:tc>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25 %</w:t>
            </w:r>
          </w:p>
        </w:tc>
      </w:tr>
      <w:tr>
        <w:tc>
          <w:tcPr>
            <w:tcW w:type="dxa" w:w="3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Dudoso</w:t>
            </w:r>
          </w:p>
        </w:tc>
        <w:tc>
          <w:tcPr>
            <w:tcW w:type="dxa" w:w="2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 61 a 120 días</w:t>
            </w:r>
          </w:p>
        </w:tc>
        <w:tc>
          <w:tcPr>
            <w:tcW w:type="dxa" w:w="3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60 %</w:t>
            </w:r>
          </w:p>
        </w:tc>
      </w:tr>
      <w:tr>
        <w:tc>
          <w:tcPr>
            <w:tcW w:type="dxa" w:w="3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Pérdida</w:t>
            </w:r>
          </w:p>
        </w:tc>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Más de 120 días</w:t>
            </w:r>
          </w:p>
        </w:tc>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100 %</w:t>
            </w:r>
          </w:p>
        </w:tc>
      </w:tr>
    </w:tbl>
    <w:p>
      <w:pPr>
        <w:keepNext w:val="false"/>
        <w:spacing w:after="100"/>
      </w:pPr>
    </w:p>
    <w:p>
      <w:pPr>
        <w:spacing w:after="120" w:before="0" w:line="276"/>
      </w:pPr>
      <w:r>
        <w:rPr>
          <w:rFonts w:ascii="Calibri" w:cs="Calibri" w:eastAsia="Calibri" w:hAnsi="Calibri"/>
          <w:color w:val="1A1A1A"/>
          <w:sz w:val="21"/>
          <w:szCs w:val="21"/>
        </w:rPr>
        <w:t xml:space="preserve">El salto que importa está entre CPP y Deficiente: </w:t>
      </w:r>
      <w:r>
        <w:rPr>
          <w:rFonts w:ascii="Calibri" w:cs="Calibri" w:eastAsia="Calibri" w:hAnsi="Calibri"/>
          <w:b/>
          <w:bCs/>
          <w:color w:val="1A1A1A"/>
          <w:sz w:val="21"/>
          <w:szCs w:val="21"/>
        </w:rPr>
        <w:t xml:space="preserve">veinte puntos porcentuales</w:t>
      </w:r>
      <w:r>
        <w:rPr>
          <w:rFonts w:ascii="Calibri" w:cs="Calibri" w:eastAsia="Calibri" w:hAnsi="Calibri"/>
          <w:color w:val="1A1A1A"/>
          <w:sz w:val="21"/>
          <w:szCs w:val="21"/>
        </w:rPr>
        <w:t xml:space="preserve">. Cada sol que se queda en 9–30 días en vez de rodar a 31–60 le ahorra al banco veinte céntimos de provisión, ese mes. Ese es todo el argumento económico y cabe en una frase.</w:t>
      </w:r>
    </w:p>
    <w:p>
      <w:pPr>
        <w:pStyle w:val="Heading3"/>
        <w:spacing w:after="80" w:before="200"/>
      </w:pPr>
      <w:r>
        <w:rPr>
          <w:rFonts w:ascii="Calibri" w:cs="Calibri" w:eastAsia="Calibri" w:hAnsi="Calibri"/>
          <w:b/>
          <w:bCs/>
          <w:color w:val="333333"/>
          <w:sz w:val="22"/>
          <w:szCs w:val="22"/>
        </w:rPr>
        <w:t xml:space="preserve">La tabla de sensibilidad (una lámina)</w:t>
      </w:r>
    </w:p>
    <w:p>
      <w:pPr>
        <w:spacing w:after="120" w:before="0" w:line="276"/>
      </w:pPr>
      <w:r>
        <w:rPr>
          <w:rFonts w:ascii="Calibri" w:cs="Calibri" w:eastAsia="Calibri" w:hAnsi="Calibri"/>
          <w:color w:val="1A1A1A"/>
          <w:sz w:val="21"/>
          <w:szCs w:val="21"/>
        </w:rPr>
        <w:t xml:space="preserve">El jurado busca la fila parecida a su cartera y saca su propia conclusión, que convence más que un número que le demos nosotros.</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2600"/>
        <w:gridCol w:w="2300"/>
        <w:gridCol w:w="2230"/>
        <w:gridCol w:w="2230"/>
      </w:tblGrid>
      <w:tr>
        <w:trPr>
          <w:tblHeader/>
        </w:trPr>
        <w:tc>
          <w:tcPr>
            <w:tcW w:type="dxa" w:w="26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Saldo en CPP (9–30 días)</w:t>
            </w:r>
          </w:p>
        </w:tc>
        <w:tc>
          <w:tcPr>
            <w:tcW w:type="dxa" w:w="23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Si el roll-rate baja 2 puntos</w:t>
            </w:r>
          </w:p>
        </w:tc>
        <w:tc>
          <w:tcPr>
            <w:tcW w:type="dxa" w:w="223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Si baja 5 puntos</w:t>
            </w:r>
          </w:p>
        </w:tc>
        <w:tc>
          <w:tcPr>
            <w:tcW w:type="dxa" w:w="223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Si baja 10 puntos</w:t>
            </w:r>
          </w:p>
        </w:tc>
      </w:tr>
      <w:tr>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1 millón</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4 000 al mes</w:t>
            </w:r>
          </w:p>
        </w:tc>
        <w:tc>
          <w:tcPr>
            <w:tcW w:type="dxa" w:w="223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10 000 al mes</w:t>
            </w:r>
          </w:p>
        </w:tc>
        <w:tc>
          <w:tcPr>
            <w:tcW w:type="dxa" w:w="223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20 000 al mes</w:t>
            </w:r>
          </w:p>
        </w:tc>
      </w:tr>
      <w:tr>
        <w:tc>
          <w:tcPr>
            <w:tcW w:type="dxa" w:w="2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10 millones</w:t>
            </w:r>
          </w:p>
        </w:tc>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40 000 al mes</w:t>
            </w:r>
          </w:p>
        </w:tc>
        <w:tc>
          <w:tcPr>
            <w:tcW w:type="dxa" w:w="223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100 000 al mes</w:t>
            </w:r>
          </w:p>
        </w:tc>
        <w:tc>
          <w:tcPr>
            <w:tcW w:type="dxa" w:w="223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200 000 al mes</w:t>
            </w:r>
          </w:p>
        </w:tc>
      </w:tr>
      <w:tr>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100 millones</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400 000 al mes</w:t>
            </w:r>
          </w:p>
        </w:tc>
        <w:tc>
          <w:tcPr>
            <w:tcW w:type="dxa" w:w="223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1 000 000 al mes</w:t>
            </w:r>
          </w:p>
        </w:tc>
        <w:tc>
          <w:tcPr>
            <w:tcW w:type="dxa" w:w="223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 2 000 000 al mes</w:t>
            </w:r>
          </w:p>
        </w:tc>
      </w:tr>
    </w:tbl>
    <w:p>
      <w:pPr>
        <w:keepNext w:val="false"/>
        <w:spacing w:after="100"/>
      </w:pPr>
    </w:p>
    <w:p>
      <w:pPr>
        <w:spacing w:after="120" w:before="0" w:line="276"/>
      </w:pPr>
      <w:r>
        <w:rPr>
          <w:rFonts w:ascii="Calibri" w:cs="Calibri" w:eastAsia="Calibri" w:hAnsi="Calibri"/>
          <w:color w:val="1A1A1A"/>
          <w:sz w:val="21"/>
          <w:szCs w:val="21"/>
        </w:rPr>
        <w:t xml:space="preserve">La cuenta: </w:t>
      </w:r>
      <w:r>
        <w:rPr>
          <w:rFonts w:ascii="Calibri" w:cs="Calibri" w:eastAsia="Calibri" w:hAnsi="Calibri"/>
          <w:b/>
          <w:bCs/>
          <w:color w:val="1A1A1A"/>
          <w:sz w:val="21"/>
          <w:szCs w:val="21"/>
        </w:rPr>
        <w:t xml:space="preserve">saldo en CPP × puntos que baja el roll-rate × 20 %</w:t>
      </w:r>
      <w:r>
        <w:rPr>
          <w:rFonts w:ascii="Calibri" w:cs="Calibri" w:eastAsia="Calibri" w:hAnsi="Calibri"/>
          <w:color w:val="1A1A1A"/>
          <w:sz w:val="21"/>
          <w:szCs w:val="21"/>
        </w:rPr>
        <w:t xml:space="preserve">. Si preguntan de dónde sale el 20 %, es la diferencia entre la provisión de CPP y la de Deficiente.</w:t>
      </w:r>
    </w:p>
    <w:p>
      <w:pPr>
        <w:spacing w:after="120" w:before="0" w:line="276"/>
      </w:pPr>
      <w:r>
        <w:rPr>
          <w:rFonts w:ascii="Calibri" w:cs="Calibri" w:eastAsia="Calibri" w:hAnsi="Calibri"/>
          <w:color w:val="1A1A1A"/>
          <w:sz w:val="21"/>
          <w:szCs w:val="21"/>
        </w:rPr>
        <w:t xml:space="preserve">Además hay dos números que sí salen de nuestra data y hay que calcularlos con la v2: la concentración (qué porcentaje de créditos concentra qué porcentaje del saldo en riesgo, que justifica priorizar) y cuántos créditos quedaron fuera por dato en revisión, que le pone tamaño al control.</w:t>
      </w:r>
    </w:p>
    <w:p>
      <w:pPr>
        <w:keepNext w:val="false"/>
        <w:spacing w:after="60"/>
      </w:pPr>
    </w:p>
    <w:tbl>
      <w:tblPr>
        <w:tblW w:type="dxa" w:w="9360"/>
        <w:tblBorders>
          <w:top w:val="none" w:color="FFFFFF" w:sz="0"/>
          <w:left w:val="single" w:color="9DB6CE" w:sz="18"/>
          <w:bottom w:val="none" w:color="FFFFFF" w:sz="0"/>
          <w:right w:val="none" w:color="FFFFFF" w:sz="0"/>
          <w:insideH w:val="none" w:color="FFFFFF" w:sz="0"/>
          <w:insideV w:val="none" w:color="FFFFFF" w:sz="0"/>
        </w:tblBorders>
      </w:tblPr>
      <w:tblGrid>
        <w:gridCol w:w="9360"/>
      </w:tblGrid>
      <w:tr>
        <w:tc>
          <w:tcPr>
            <w:tcW w:type="dxa" w:w="9360"/>
            <w:shd w:fill="F2F5F8" w:val="clear"/>
            <w:tcMar>
              <w:top w:type="dxa" w:w="140"/>
              <w:left w:type="dxa" w:w="200"/>
              <w:bottom w:type="dxa" w:w="140"/>
              <w:right w:type="dxa" w:w="200"/>
            </w:tcMar>
          </w:tcPr>
          <w:p>
            <w:pPr>
              <w:spacing w:after="0" w:before="0" w:line="276"/>
            </w:pPr>
            <w:r>
              <w:rPr>
                <w:rFonts w:ascii="Calibri" w:cs="Calibri" w:eastAsia="Calibri" w:hAnsi="Calibri"/>
                <w:b/>
                <w:bCs/>
                <w:color w:val="1F4E79"/>
                <w:sz w:val="21"/>
                <w:szCs w:val="21"/>
              </w:rPr>
              <w:t xml:space="preserve">Si preguntan cómo saben que funciona: </w:t>
            </w:r>
            <w:r>
              <w:rPr>
                <w:rFonts w:ascii="Calibri" w:cs="Calibri" w:eastAsia="Calibri" w:hAnsi="Calibri"/>
                <w:color w:val="1A1A1A"/>
                <w:sz w:val="21"/>
                <w:szCs w:val="21"/>
              </w:rPr>
              <w:t xml:space="preserve">con una prueba A/B. Se parte la lista en dos, a una mitad se la contacta con el nuevo criterio y a la otra se la deja en el proceso de siempre, y a los treinta días se comparan los roll-rate. No alcanzamos a correrla, pero proponerla responde la pregunta más difícil que nos pueden hacer.</w:t>
            </w:r>
          </w:p>
        </w:tc>
      </w:tr>
    </w:tbl>
    <w:p>
      <w:pPr>
        <w:keepNext w:val="false"/>
        <w:spacing w:after="160"/>
      </w:pPr>
    </w:p>
    <w:p>
      <w:r>
        <w:br w:type="page"/>
      </w:r>
    </w:p>
    <w:p>
      <w:pPr>
        <w:pStyle w:val="Heading1"/>
        <w:pBdr>
          <w:bottom w:val="single" w:color="BFD3E6" w:sz="6" w:space="6"/>
        </w:pBdr>
        <w:spacing w:after="160" w:before="400"/>
      </w:pPr>
      <w:r>
        <w:rPr>
          <w:rFonts w:ascii="Calibri" w:cs="Calibri" w:eastAsia="Calibri" w:hAnsi="Calibri"/>
          <w:b/>
          <w:bCs/>
          <w:color w:val="1F4E79"/>
          <w:sz w:val="30"/>
          <w:szCs w:val="30"/>
        </w:rPr>
        <w:t xml:space="preserve">4. La arquitectura</w:t>
      </w:r>
    </w:p>
    <w:p>
      <w:pPr>
        <w:spacing w:after="120" w:before="0" w:line="276"/>
      </w:pPr>
      <w:r>
        <w:rPr>
          <w:rFonts w:ascii="Calibri" w:cs="Calibri" w:eastAsia="Calibri" w:hAnsi="Calibri"/>
          <w:color w:val="1A1A1A"/>
          <w:sz w:val="21"/>
          <w:szCs w:val="21"/>
        </w:rPr>
        <w:t xml:space="preserve">Se mantiene el diseño del plan maestro, cambiando los servicios que no entran en una cuenta gratuita. Esta tabla conviene mostrarla tal cual: es la lámina que demuestra criterio de arquitecto.</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1500"/>
        <w:gridCol w:w="2500"/>
        <w:gridCol w:w="2300"/>
        <w:gridCol w:w="3060"/>
      </w:tblGrid>
      <w:tr>
        <w:trPr>
          <w:tblHeader/>
        </w:trPr>
        <w:tc>
          <w:tcPr>
            <w:tcW w:type="dxa" w:w="15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Capa</w:t>
            </w:r>
          </w:p>
        </w:tc>
        <w:tc>
          <w:tcPr>
            <w:tcW w:type="dxa" w:w="25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En nuestro MVP</w:t>
            </w:r>
          </w:p>
        </w:tc>
        <w:tc>
          <w:tcPr>
            <w:tcW w:type="dxa" w:w="23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En el banco</w:t>
            </w:r>
          </w:p>
        </w:tc>
        <w:tc>
          <w:tcPr>
            <w:tcW w:type="dxa" w:w="30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Por qué cambiamos</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Canal</w:t>
            </w:r>
          </w:p>
        </w:tc>
        <w:tc>
          <w:tcPr>
            <w:tcW w:type="dxa" w:w="2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Página web simple en Azure que manda la nota del gestor por una API</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App del gestor en campo y API del core</w:t>
            </w:r>
          </w:p>
        </w:tc>
        <w:tc>
          <w:tcPr>
            <w:tcW w:type="dxa" w:w="30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Es la capa de canal que el blueprint siempre dibujó y nunca construimos, y usa el crédito de Azure que estaba sin tocar</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Base transaccional</w:t>
            </w:r>
          </w:p>
        </w:tc>
        <w:tc>
          <w:tcPr>
            <w:tcW w:type="dxa" w:w="2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RDS PostgreSQL db.t4g.micro</w:t>
            </w:r>
          </w:p>
        </w:tc>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Aurora Multi-AZ con RDS Proxy</w:t>
            </w:r>
          </w:p>
        </w:tc>
        <w:tc>
          <w:tcPr>
            <w:tcW w:type="dxa" w:w="30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Aurora no está en la capa gratuita</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Ingesta</w:t>
            </w:r>
          </w:p>
        </w:tc>
        <w:tc>
          <w:tcPr>
            <w:tcW w:type="dxa" w:w="2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Notebook de Python que escribe Parquet</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AWS DMS con captura de cambios</w:t>
            </w:r>
          </w:p>
        </w:tc>
        <w:tc>
          <w:tcPr>
            <w:tcW w:type="dxa" w:w="30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DMS cobra por instancia encendida; el notebook conecta con lo que IBK usa</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Lago</w:t>
            </w:r>
          </w:p>
        </w:tc>
        <w:tc>
          <w:tcPr>
            <w:tcW w:type="dxa" w:w="2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S3 bronze, silver, quarantine, gold</w:t>
            </w:r>
          </w:p>
        </w:tc>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Igual, con Lake Formation</w:t>
            </w:r>
          </w:p>
        </w:tc>
        <w:tc>
          <w:tcPr>
            <w:tcW w:type="dxa" w:w="30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Calidad</w:t>
            </w:r>
          </w:p>
        </w:tc>
        <w:tc>
          <w:tcPr>
            <w:tcW w:type="dxa" w:w="2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Lambda que lee las reglas de la base</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Glue Data Quality</w:t>
            </w:r>
          </w:p>
        </w:tc>
        <w:tc>
          <w:tcPr>
            <w:tcW w:type="dxa" w:w="30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Mismas reglas, sin costo</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Orquestación</w:t>
            </w:r>
          </w:p>
        </w:tc>
        <w:tc>
          <w:tcPr>
            <w:tcW w:type="dxa" w:w="2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Step Functions y EventBridge</w:t>
            </w:r>
          </w:p>
        </w:tc>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Prefect o MWAA</w:t>
            </w:r>
          </w:p>
        </w:tc>
        <w:tc>
          <w:tcPr>
            <w:tcW w:type="dxa" w:w="30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Nativo y el grafo se ve pintarse en vivo</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Analítica</w:t>
            </w:r>
          </w:p>
        </w:tc>
        <w:tc>
          <w:tcPr>
            <w:tcW w:type="dxa" w:w="2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Power BI Desktop en modo Import</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Power BI Service</w:t>
            </w:r>
          </w:p>
        </w:tc>
        <w:tc>
          <w:tcPr>
            <w:tcW w:type="dxa" w:w="30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Desktop es gratis y no depende del wifi de la sala</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GenAI</w:t>
            </w:r>
          </w:p>
        </w:tc>
        <w:tc>
          <w:tcPr>
            <w:tcW w:type="dxa" w:w="2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Amazon Bedrock con Nova Micro</w:t>
            </w:r>
          </w:p>
        </w:tc>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Bedrock con el modelo que el banco tenga aprobado</w:t>
            </w:r>
          </w:p>
        </w:tc>
        <w:tc>
          <w:tcPr>
            <w:tcW w:type="dxa" w:w="30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Se paga con los créditos de AWS; no toca ninguna suscripción personal</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Secretos</w:t>
            </w:r>
          </w:p>
        </w:tc>
        <w:tc>
          <w:tcPr>
            <w:tcW w:type="dxa" w:w="2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Parameter Store con KMS</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Secrets Manager con rotación</w:t>
            </w:r>
          </w:p>
        </w:tc>
        <w:tc>
          <w:tcPr>
            <w:tcW w:type="dxa" w:w="30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Parameter Store estándar no cobra</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Automatización</w:t>
            </w:r>
          </w:p>
        </w:tc>
        <w:tc>
          <w:tcPr>
            <w:tcW w:type="dxa" w:w="2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Power Automate, conectores estándar</w:t>
            </w:r>
          </w:p>
        </w:tc>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Igual, con licencia premium</w:t>
            </w:r>
          </w:p>
        </w:tc>
        <w:tc>
          <w:tcPr>
            <w:tcW w:type="dxa" w:w="30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licencia de la universidad no tiene premium</w:t>
            </w:r>
          </w:p>
        </w:tc>
      </w:tr>
    </w:tbl>
    <w:p>
      <w:pPr>
        <w:keepNext w:val="false"/>
        <w:spacing w:after="100"/>
      </w:pPr>
    </w:p>
    <w:p>
      <w:pPr>
        <w:spacing w:after="120" w:before="0" w:line="276"/>
      </w:pPr>
      <w:r>
        <w:rPr>
          <w:rFonts w:ascii="Calibri" w:cs="Calibri" w:eastAsia="Calibri" w:hAnsi="Calibri"/>
          <w:b/>
          <w:bCs/>
          <w:color w:val="1A1A1A"/>
          <w:sz w:val="21"/>
          <w:szCs w:val="21"/>
        </w:rPr>
        <w:t xml:space="preserve">Se cae Athena. </w:t>
      </w:r>
      <w:r>
        <w:rPr>
          <w:rFonts w:ascii="Calibri" w:cs="Calibri" w:eastAsia="Calibri" w:hAnsi="Calibri"/>
          <w:color w:val="1A1A1A"/>
          <w:sz w:val="21"/>
          <w:szCs w:val="21"/>
        </w:rPr>
        <w:t xml:space="preserve">Estaba como data warehouse y libera hora y media de Victor que ahora hace falta en otro lado. Si alguien pregunta por el warehouse, la respuesta es que los archivos Gold en formato estrella ya cumplen esa función a esta escala, y que en el banco eso viviría en Redshift.</w:t>
      </w:r>
    </w:p>
    <w:p>
      <w:pPr>
        <w:pStyle w:val="Heading2"/>
        <w:spacing w:after="100" w:before="280"/>
      </w:pPr>
      <w:r>
        <w:rPr>
          <w:rFonts w:ascii="Calibri" w:cs="Calibri" w:eastAsia="Calibri" w:hAnsi="Calibri"/>
          <w:b/>
          <w:bCs/>
          <w:color w:val="1F4E79"/>
          <w:sz w:val="24"/>
          <w:szCs w:val="24"/>
        </w:rPr>
        <w:t xml:space="preserve">4.1 El canal en Azure y la plataforma en AWS</w:t>
      </w:r>
    </w:p>
    <w:p>
      <w:pPr>
        <w:spacing w:after="120" w:before="0" w:line="276"/>
      </w:pPr>
      <w:r>
        <w:rPr>
          <w:rFonts w:ascii="Calibri" w:cs="Calibri" w:eastAsia="Calibri" w:hAnsi="Calibri"/>
          <w:color w:val="1A1A1A"/>
          <w:sz w:val="21"/>
          <w:szCs w:val="21"/>
        </w:rPr>
        <w:t xml:space="preserve">Interbank trabaja con las dos nubes: la analítica y los datos en AWS, y Azure reservado para otra cosa. Reproducir esa separación es más fiel al cliente que poner todo en un solo sitio, y además usa el crédito de Azure que teníamos sin tocar.</w:t>
      </w:r>
    </w:p>
    <w:p>
      <w:pPr>
        <w:spacing w:after="120" w:before="0" w:line="276"/>
      </w:pPr>
      <w:r>
        <w:rPr>
          <w:rFonts w:ascii="Calibri" w:cs="Calibri" w:eastAsia="Calibri" w:hAnsi="Calibri"/>
          <w:b/>
          <w:bCs/>
          <w:color w:val="1A1A1A"/>
          <w:sz w:val="21"/>
          <w:szCs w:val="21"/>
        </w:rPr>
        <w:t xml:space="preserve">Qué es: </w:t>
      </w:r>
      <w:r>
        <w:rPr>
          <w:rFonts w:ascii="Calibri" w:cs="Calibri" w:eastAsia="Calibri" w:hAnsi="Calibri"/>
          <w:color w:val="1A1A1A"/>
          <w:sz w:val="21"/>
          <w:szCs w:val="21"/>
        </w:rPr>
        <w:t xml:space="preserve">la app de cobranza que construyó Ivan, desplegada en Azure. Muestra la lista priorizada y la pestaña de los que no se contactan por dato en revisión, y deja que el gestor registre qué pasó en cada contacto. Al registrar, la nota viaja por una API hasta AWS y cae en el lago, en Bronze. De ahí sigue el mismo camino que todo lo demás: reglas de calidad, clasificación con Bedrock y la lista del día siguiente.</w:t>
      </w:r>
    </w:p>
    <w:p>
      <w:pPr>
        <w:keepNext w:val="false"/>
        <w:spacing w:after="60"/>
      </w:pPr>
    </w:p>
    <w:tbl>
      <w:tblPr>
        <w:tblW w:type="dxa" w:w="9360"/>
        <w:tblBorders>
          <w:top w:val="none" w:color="FFFFFF" w:sz="0"/>
          <w:left w:val="single" w:color="E0A64A" w:sz="18"/>
          <w:bottom w:val="none" w:color="FFFFFF" w:sz="0"/>
          <w:right w:val="none" w:color="FFFFFF" w:sz="0"/>
          <w:insideH w:val="none" w:color="FFFFFF" w:sz="0"/>
          <w:insideV w:val="none" w:color="FFFFFF" w:sz="0"/>
        </w:tblBorders>
      </w:tblPr>
      <w:tblGrid>
        <w:gridCol w:w="9360"/>
      </w:tblGrid>
      <w:tr>
        <w:tc>
          <w:tcPr>
            <w:tcW w:type="dxa" w:w="9360"/>
            <w:shd w:fill="FFF6E5" w:val="clear"/>
            <w:tcMar>
              <w:top w:type="dxa" w:w="140"/>
              <w:left w:type="dxa" w:w="200"/>
              <w:bottom w:type="dxa" w:w="140"/>
              <w:right w:type="dxa" w:w="200"/>
            </w:tcMar>
          </w:tcPr>
          <w:p>
            <w:pPr>
              <w:spacing w:after="0" w:before="0" w:line="276"/>
            </w:pPr>
            <w:r>
              <w:rPr>
                <w:rFonts w:ascii="Calibri" w:cs="Calibri" w:eastAsia="Calibri" w:hAnsi="Calibri"/>
                <w:b/>
                <w:bCs/>
                <w:color w:val="5A4520"/>
                <w:sz w:val="21"/>
                <w:szCs w:val="21"/>
              </w:rPr>
              <w:t xml:space="preserve">¿De verdad no cambia nada en AWS? </w:t>
            </w:r>
            <w:r>
              <w:rPr>
                <w:rFonts w:ascii="Calibri" w:cs="Calibri" w:eastAsia="Calibri" w:hAnsi="Calibri"/>
                <w:color w:val="1A1A1A"/>
                <w:sz w:val="21"/>
                <w:szCs w:val="21"/>
              </w:rPr>
              <w:t xml:space="preserve">Casi, y depende de dónde entre el dato. Cambia una cosa que no es menor: hay que abrir un punto de entrada público a AWS que antes no existía. Si ese endpoint escribiera directo en la base transaccional, sería el punto más sensible de todo el diseño, expuesto a internet, y delante de gente de ciberseguridad. Por eso la nota entra al lago y no al núcleo: la app deja el archivo en Bronze y no puede tocar saldos, ni el ledger, ni la idempotencia. Con esa forma sí es cierto que aguas abajo no cambia nada. Lo que no es cierto es que salga gratis: son dos horas y media reales, y no hay dos horas y media libres. Entra sacando la app de Power Apps, que ocupaba el mismo lugar en la historia.</w:t>
            </w:r>
          </w:p>
        </w:tc>
      </w:tr>
    </w:tbl>
    <w:p>
      <w:pPr>
        <w:keepNext w:val="false"/>
        <w:spacing w:after="160"/>
      </w:pPr>
    </w:p>
    <w:p>
      <w:pPr>
        <w:pStyle w:val="Heading3"/>
        <w:spacing w:after="80" w:before="200"/>
      </w:pPr>
      <w:r>
        <w:rPr>
          <w:rFonts w:ascii="Calibri" w:cs="Calibri" w:eastAsia="Calibri" w:hAnsi="Calibri"/>
          <w:b/>
          <w:bCs/>
          <w:color w:val="333333"/>
          <w:sz w:val="22"/>
          <w:szCs w:val="22"/>
        </w:rPr>
        <w:t xml:space="preserve">Lo que hay que hacer, y quién</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6260"/>
        <w:gridCol w:w="1500"/>
        <w:gridCol w:w="1600"/>
      </w:tblGrid>
      <w:tr>
        <w:trPr>
          <w:tblHeader/>
        </w:trPr>
        <w:tc>
          <w:tcPr>
            <w:tcW w:type="dxa" w:w="62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Pieza</w:t>
            </w:r>
          </w:p>
        </w:tc>
        <w:tc>
          <w:tcPr>
            <w:tcW w:type="dxa" w:w="15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Quién</w:t>
            </w:r>
          </w:p>
        </w:tc>
        <w:tc>
          <w:tcPr>
            <w:tcW w:type="dxa" w:w="16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Cuánto</w:t>
            </w:r>
          </w:p>
        </w:tc>
      </w:tr>
      <w:tr>
        <w:tc>
          <w:tcPr>
            <w:tcW w:type="dxa" w:w="62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Lambda con Function URL que recibe la nota, valida el contenido y lo escribe como JSON en el bucket de Bronze. Con una clave en la cabecera, guardada en Parameter Store, y un tope de tamaño por petición</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1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 h</w:t>
            </w:r>
          </w:p>
        </w:tc>
      </w:tr>
      <w:tr>
        <w:tc>
          <w:tcPr>
            <w:tcW w:type="dxa" w:w="62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Conectar la app a la data real (hoy corre en modo mock), hacer que los botones escriban al endpoint y desplegarla en Azure</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1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 h</w:t>
            </w:r>
          </w:p>
        </w:tc>
      </w:tr>
      <w:tr>
        <w:tc>
          <w:tcPr>
            <w:tcW w:type="dxa" w:w="62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Nada más. El clasificador de Bedrock ya lee de ahí y la lista ya se arma con eso</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w:t>
            </w:r>
          </w:p>
        </w:tc>
        <w:tc>
          <w:tcPr>
            <w:tcW w:type="dxa" w:w="1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w:t>
            </w:r>
          </w:p>
        </w:tc>
      </w:tr>
    </w:tbl>
    <w:p>
      <w:pPr>
        <w:keepNext w:val="false"/>
        <w:spacing w:after="100"/>
      </w:pPr>
    </w:p>
    <w:p>
      <w:pPr>
        <w:spacing w:after="120" w:before="0" w:line="276"/>
      </w:pPr>
      <w:r>
        <w:rPr>
          <w:rFonts w:ascii="Calibri" w:cs="Calibri" w:eastAsia="Calibri" w:hAnsi="Calibri"/>
          <w:b/>
          <w:bCs/>
          <w:color w:val="1A1A1A"/>
          <w:sz w:val="21"/>
          <w:szCs w:val="21"/>
        </w:rPr>
        <w:t xml:space="preserve">El orden importa: </w:t>
      </w:r>
      <w:r>
        <w:rPr>
          <w:rFonts w:ascii="Calibri" w:cs="Calibri" w:eastAsia="Calibri" w:hAnsi="Calibri"/>
          <w:color w:val="1A1A1A"/>
          <w:sz w:val="21"/>
          <w:szCs w:val="21"/>
        </w:rPr>
        <w:t xml:space="preserve">Victor levanta el endpoint el lunes a primera hora y le pasa la URL a Ivan, que recién ahí puede enganchar los botones contra algo real. Sin esa URL, la app sigue siendo una maqueta.</w:t>
      </w:r>
    </w:p>
    <w:p>
      <w:pPr>
        <w:keepNext w:val="false"/>
        <w:spacing w:after="60"/>
      </w:pPr>
    </w:p>
    <w:tbl>
      <w:tblPr>
        <w:tblW w:type="dxa" w:w="9360"/>
        <w:tblBorders>
          <w:top w:val="none" w:color="FFFFFF" w:sz="0"/>
          <w:left w:val="single" w:color="9DB6CE" w:sz="18"/>
          <w:bottom w:val="none" w:color="FFFFFF" w:sz="0"/>
          <w:right w:val="none" w:color="FFFFFF" w:sz="0"/>
          <w:insideH w:val="none" w:color="FFFFFF" w:sz="0"/>
          <w:insideV w:val="none" w:color="FFFFFF" w:sz="0"/>
        </w:tblBorders>
      </w:tblPr>
      <w:tblGrid>
        <w:gridCol w:w="9360"/>
      </w:tblGrid>
      <w:tr>
        <w:tc>
          <w:tcPr>
            <w:tcW w:type="dxa" w:w="9360"/>
            <w:shd w:fill="F2F5F8" w:val="clear"/>
            <w:tcMar>
              <w:top w:type="dxa" w:w="140"/>
              <w:left w:type="dxa" w:w="200"/>
              <w:bottom w:type="dxa" w:w="140"/>
              <w:right w:type="dxa" w:w="200"/>
            </w:tcMar>
          </w:tcPr>
          <w:p>
            <w:pPr>
              <w:spacing w:after="0" w:before="0" w:line="276"/>
            </w:pPr>
            <w:r>
              <w:rPr>
                <w:rFonts w:ascii="Calibri" w:cs="Calibri" w:eastAsia="Calibri" w:hAnsi="Calibri"/>
                <w:b/>
                <w:bCs/>
                <w:color w:val="1F4E79"/>
                <w:sz w:val="21"/>
                <w:szCs w:val="21"/>
              </w:rPr>
              <w:t xml:space="preserve">Lo que hay que decir en la exposición: </w:t>
            </w:r>
            <w:r>
              <w:rPr>
                <w:rFonts w:ascii="Calibri" w:cs="Calibri" w:eastAsia="Calibri" w:hAnsi="Calibri"/>
                <w:color w:val="1A1A1A"/>
                <w:sz w:val="21"/>
                <w:szCs w:val="21"/>
              </w:rPr>
              <w:t xml:space="preserve">que en el banco esta app llamaría a la API transaccional del core, y que acá entrega su evento a la capa de ingesta. Es una decisión de alcance, no un descuido, y decirla en voz alta evita que la pregunten.</w:t>
            </w:r>
          </w:p>
        </w:tc>
      </w:tr>
    </w:tbl>
    <w:p>
      <w:pPr>
        <w:keepNext w:val="false"/>
        <w:spacing w:after="160"/>
      </w:pPr>
    </w:p>
    <w:p>
      <w:pPr>
        <w:pStyle w:val="Heading2"/>
        <w:spacing w:after="100" w:before="280"/>
      </w:pPr>
      <w:r>
        <w:rPr>
          <w:rFonts w:ascii="Calibri" w:cs="Calibri" w:eastAsia="Calibri" w:hAnsi="Calibri"/>
          <w:b/>
          <w:bCs/>
          <w:color w:val="1F4E79"/>
          <w:sz w:val="24"/>
          <w:szCs w:val="24"/>
        </w:rPr>
        <w:t xml:space="preserve">4.2 Dónde va la IA generativa, y por qué ahí</w:t>
      </w:r>
    </w:p>
    <w:p>
      <w:pPr>
        <w:spacing w:after="120" w:before="0" w:line="276"/>
      </w:pPr>
      <w:r>
        <w:rPr>
          <w:rFonts w:ascii="Calibri" w:cs="Calibri" w:eastAsia="Calibri" w:hAnsi="Calibri"/>
          <w:color w:val="1A1A1A"/>
          <w:sz w:val="21"/>
          <w:szCs w:val="21"/>
        </w:rPr>
        <w:t xml:space="preserve">La regla que nos ponemos: </w:t>
      </w:r>
      <w:r>
        <w:rPr>
          <w:rFonts w:ascii="Calibri" w:cs="Calibri" w:eastAsia="Calibri" w:hAnsi="Calibri"/>
          <w:b/>
          <w:bCs/>
          <w:color w:val="1A1A1A"/>
          <w:sz w:val="21"/>
          <w:szCs w:val="21"/>
        </w:rPr>
        <w:t xml:space="preserve">la IA entra solo si hace algo que el SQL no puede hacer</w:t>
      </w:r>
      <w:r>
        <w:rPr>
          <w:rFonts w:ascii="Calibri" w:cs="Calibri" w:eastAsia="Calibri" w:hAnsi="Calibri"/>
          <w:color w:val="1A1A1A"/>
          <w:sz w:val="21"/>
          <w:szCs w:val="21"/>
        </w:rPr>
        <w:t xml:space="preserve">. Después de la observación del profesor, un chatbot pegado al costado sería el error opuesto.</w:t>
      </w:r>
    </w:p>
    <w:p>
      <w:pPr>
        <w:spacing w:after="120" w:before="0" w:line="276"/>
      </w:pPr>
      <w:r>
        <w:rPr>
          <w:rFonts w:ascii="Calibri" w:cs="Calibri" w:eastAsia="Calibri" w:hAnsi="Calibri"/>
          <w:color w:val="1A1A1A"/>
          <w:sz w:val="21"/>
          <w:szCs w:val="21"/>
        </w:rPr>
        <w:t xml:space="preserve">Dentro de Power Automate no se puede: con la licencia de Microsoft 365 de la universidad, AI Builder necesita créditos que no vienen incluidos, y los conectores HTTP y de Azure OpenAI son premium. Así que la IA generativa corre en AWS, en una Lambda que llama a Bedrock, y Power Automate lee el resultado ya procesado.</w:t>
      </w:r>
    </w:p>
    <w:p>
      <w:pPr>
        <w:keepNext w:val="false"/>
        <w:spacing w:after="60"/>
      </w:pPr>
    </w:p>
    <w:tbl>
      <w:tblPr>
        <w:tblW w:type="dxa" w:w="9360"/>
        <w:tblBorders>
          <w:top w:val="none" w:color="FFFFFF" w:sz="0"/>
          <w:left w:val="single" w:color="72BFA0" w:sz="18"/>
          <w:bottom w:val="none" w:color="FFFFFF" w:sz="0"/>
          <w:right w:val="none" w:color="FFFFFF" w:sz="0"/>
          <w:insideH w:val="none" w:color="FFFFFF" w:sz="0"/>
          <w:insideV w:val="none" w:color="FFFFFF" w:sz="0"/>
        </w:tblBorders>
      </w:tblPr>
      <w:tblGrid>
        <w:gridCol w:w="9360"/>
      </w:tblGrid>
      <w:tr>
        <w:tc>
          <w:tcPr>
            <w:tcW w:type="dxa" w:w="9360"/>
            <w:shd w:fill="E8F5EE" w:val="clear"/>
            <w:tcMar>
              <w:top w:type="dxa" w:w="140"/>
              <w:left w:type="dxa" w:w="200"/>
              <w:bottom w:type="dxa" w:w="140"/>
              <w:right w:type="dxa" w:w="200"/>
            </w:tcMar>
          </w:tcPr>
          <w:p>
            <w:pPr>
              <w:spacing w:after="0" w:before="0" w:line="276"/>
            </w:pPr>
            <w:r>
              <w:rPr>
                <w:rFonts w:ascii="Calibri" w:cs="Calibri" w:eastAsia="Calibri" w:hAnsi="Calibri"/>
                <w:b/>
                <w:bCs/>
                <w:color w:val="1E7F66"/>
                <w:sz w:val="21"/>
                <w:szCs w:val="21"/>
              </w:rPr>
              <w:t xml:space="preserve">Lo bueno de esa limitación: </w:t>
            </w:r>
            <w:r>
              <w:rPr>
                <w:rFonts w:ascii="Calibri" w:cs="Calibri" w:eastAsia="Calibri" w:hAnsi="Calibri"/>
                <w:color w:val="1A1A1A"/>
                <w:sz w:val="21"/>
                <w:szCs w:val="21"/>
              </w:rPr>
              <w:t xml:space="preserve">nos obliga a la arquitectura correcta. La IA queda del lado del pipeline, donde están los datos y los controles, y no dentro de una herramienta ofimática. Si preguntan por qué, esa es la respuesta, y es mejor que «porque era gratis».</w:t>
            </w:r>
          </w:p>
        </w:tc>
      </w:tr>
    </w:tbl>
    <w:p>
      <w:pPr>
        <w:keepNext w:val="false"/>
        <w:spacing w:after="160"/>
      </w:pPr>
    </w:p>
    <w:p>
      <w:pPr>
        <w:pStyle w:val="Heading3"/>
        <w:spacing w:after="80" w:before="200"/>
      </w:pPr>
      <w:r>
        <w:rPr>
          <w:rFonts w:ascii="Calibri" w:cs="Calibri" w:eastAsia="Calibri" w:hAnsi="Calibri"/>
          <w:b/>
          <w:bCs/>
          <w:color w:val="333333"/>
          <w:sz w:val="22"/>
          <w:szCs w:val="22"/>
        </w:rPr>
        <w:t xml:space="preserve">El caso: las notas que nadie lee</w:t>
      </w:r>
    </w:p>
    <w:p>
      <w:pPr>
        <w:spacing w:after="120" w:before="0" w:line="276"/>
      </w:pPr>
      <w:r>
        <w:rPr>
          <w:rFonts w:ascii="Calibri" w:cs="Calibri" w:eastAsia="Calibri" w:hAnsi="Calibri"/>
          <w:color w:val="1A1A1A"/>
          <w:sz w:val="21"/>
          <w:szCs w:val="21"/>
        </w:rPr>
        <w:t xml:space="preserve">Todo banco tiene miles de notas escritas a mano por los gestores después de cada llamada: «cliente indica que paga el 15», «no contesta hace tres semanas», «no reconoce el cargo», «pidió refinanciar, perdió el trabajo». Están en texto libre, nadie las lee en conjunto y no entran en ningún reporte. Ninguna consulta SQL puede leer eso.</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2100"/>
        <w:gridCol w:w="4300"/>
        <w:gridCol w:w="2960"/>
      </w:tblGrid>
      <w:tr>
        <w:trPr>
          <w:tblHeader/>
        </w:trPr>
        <w:tc>
          <w:tcPr>
            <w:tcW w:type="dxa" w:w="21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Campo que extrae el modelo</w:t>
            </w:r>
          </w:p>
        </w:tc>
        <w:tc>
          <w:tcPr>
            <w:tcW w:type="dxa" w:w="43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Valores</w:t>
            </w:r>
          </w:p>
        </w:tc>
        <w:tc>
          <w:tcPr>
            <w:tcW w:type="dxa" w:w="29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Para qué sirve</w:t>
            </w:r>
          </w:p>
        </w:tc>
      </w:tr>
      <w:tr>
        <w:tc>
          <w:tcPr>
            <w:tcW w:type="dxa" w:w="21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motivo_atraso</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OLVIDO · PROBLEMA_LIQUIDEZ · DISPUTA_CARGO · NO_RECONOCE_DEUDA · ILOCALIZABLE · OTRO</w:t>
            </w:r>
          </w:p>
        </w:tc>
        <w:tc>
          <w:tcPr>
            <w:tcW w:type="dxa" w:w="29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Decide a qué cola va el caso</w:t>
            </w:r>
          </w:p>
        </w:tc>
      </w:tr>
      <w:tr>
        <w:tc>
          <w:tcPr>
            <w:tcW w:type="dxa" w:w="21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compromiso_pago</w:t>
            </w:r>
          </w:p>
        </w:tc>
        <w:tc>
          <w:tcPr>
            <w:tcW w:type="dxa" w:w="4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SÍ / NO</w:t>
            </w:r>
          </w:p>
        </w:tc>
        <w:tc>
          <w:tcPr>
            <w:tcW w:type="dxa" w:w="29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Si ya se comprometió, baja 25 puntos y no se le llama antes de la fecha</w:t>
            </w:r>
          </w:p>
        </w:tc>
      </w:tr>
      <w:tr>
        <w:tc>
          <w:tcPr>
            <w:tcW w:type="dxa" w:w="21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fecha_compromiso</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Fecha o vacío</w:t>
            </w:r>
          </w:p>
        </w:tc>
        <w:tc>
          <w:tcPr>
            <w:tcW w:type="dxa" w:w="29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Programa el siguiente contacto</w:t>
            </w:r>
          </w:p>
        </w:tc>
      </w:tr>
      <w:tr>
        <w:tc>
          <w:tcPr>
            <w:tcW w:type="dxa" w:w="21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confianza</w:t>
            </w:r>
          </w:p>
        </w:tc>
        <w:tc>
          <w:tcPr>
            <w:tcW w:type="dxa" w:w="4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ALTA / MEDIA / BAJA</w:t>
            </w:r>
          </w:p>
        </w:tc>
        <w:tc>
          <w:tcPr>
            <w:tcW w:type="dxa" w:w="29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Lo que sale con confianza baja lo revisa una persona</w:t>
            </w:r>
          </w:p>
        </w:tc>
      </w:tr>
    </w:tbl>
    <w:p>
      <w:pPr>
        <w:keepNext w:val="false"/>
        <w:spacing w:after="100"/>
      </w:pPr>
    </w:p>
    <w:p>
      <w:pPr>
        <w:spacing w:after="120" w:before="0" w:line="276"/>
      </w:pPr>
      <w:r>
        <w:rPr>
          <w:rFonts w:ascii="Calibri" w:cs="Calibri" w:eastAsia="Calibri" w:hAnsi="Calibri"/>
          <w:b/>
          <w:bCs/>
          <w:color w:val="1A1A1A"/>
          <w:sz w:val="21"/>
          <w:szCs w:val="21"/>
        </w:rPr>
        <w:t xml:space="preserve">El valor: </w:t>
      </w:r>
      <w:r>
        <w:rPr>
          <w:rFonts w:ascii="Calibri" w:cs="Calibri" w:eastAsia="Calibri" w:hAnsi="Calibri"/>
          <w:color w:val="1A1A1A"/>
          <w:sz w:val="21"/>
          <w:szCs w:val="21"/>
        </w:rPr>
        <w:t xml:space="preserve">se deja de llamar a quien ya se comprometió, lo que no es cobranza sale de cobranza (si no reconoce la deuda, es posible fraude y va a otra área), y los ilocalizables necesitan actualización de contacto, no otra llamada.</w:t>
      </w:r>
    </w:p>
    <w:p>
      <w:pPr>
        <w:keepNext w:val="false"/>
        <w:spacing w:after="60"/>
      </w:pPr>
    </w:p>
    <w:tbl>
      <w:tblPr>
        <w:tblW w:type="dxa" w:w="9360"/>
        <w:tblBorders>
          <w:top w:val="none" w:color="FFFFFF" w:sz="0"/>
          <w:left w:val="single" w:color="E0A64A" w:sz="18"/>
          <w:bottom w:val="none" w:color="FFFFFF" w:sz="0"/>
          <w:right w:val="none" w:color="FFFFFF" w:sz="0"/>
          <w:insideH w:val="none" w:color="FFFFFF" w:sz="0"/>
          <w:insideV w:val="none" w:color="FFFFFF" w:sz="0"/>
        </w:tblBorders>
      </w:tblPr>
      <w:tblGrid>
        <w:gridCol w:w="9360"/>
      </w:tblGrid>
      <w:tr>
        <w:tc>
          <w:tcPr>
            <w:tcW w:type="dxa" w:w="9360"/>
            <w:shd w:fill="FFF6E5" w:val="clear"/>
            <w:tcMar>
              <w:top w:type="dxa" w:w="140"/>
              <w:left w:type="dxa" w:w="200"/>
              <w:bottom w:type="dxa" w:w="140"/>
              <w:right w:type="dxa" w:w="200"/>
            </w:tcMar>
          </w:tcPr>
          <w:p>
            <w:pPr>
              <w:spacing w:after="0" w:before="0" w:line="276"/>
            </w:pPr>
            <w:r>
              <w:rPr>
                <w:rFonts w:ascii="Calibri" w:cs="Calibri" w:eastAsia="Calibri" w:hAnsi="Calibri"/>
                <w:b/>
                <w:bCs/>
                <w:color w:val="5A4520"/>
                <w:sz w:val="21"/>
                <w:szCs w:val="21"/>
              </w:rPr>
              <w:t xml:space="preserve">Usen Amazon Nova Micro, no Claude ni otro de tercero. </w:t>
            </w:r>
            <w:r>
              <w:rPr>
                <w:rFonts w:ascii="Calibri" w:cs="Calibri" w:eastAsia="Calibri" w:hAnsi="Calibri"/>
                <w:color w:val="1A1A1A"/>
                <w:sz w:val="21"/>
                <w:szCs w:val="21"/>
              </w:rPr>
              <w:t xml:space="preserve">No es por calidad: es por trámite. Los modelos propios de Amazon se habilitan al instante en una cuenta nueva; los de Anthropic exigen antes un formulario de primer uso con nombre de empresa y sitio web, y en una cuenta de estudiante recién creada eso puede trabarse justo el día que lo necesitamos.</w:t>
            </w:r>
          </w:p>
        </w:tc>
      </w:tr>
    </w:tbl>
    <w:p>
      <w:pPr>
        <w:keepNext w:val="false"/>
        <w:spacing w:after="160"/>
      </w:pPr>
    </w:p>
    <w:p>
      <w:pPr>
        <w:pStyle w:val="Heading3"/>
        <w:spacing w:after="80" w:before="200"/>
      </w:pPr>
      <w:r>
        <w:rPr>
          <w:rFonts w:ascii="Calibri" w:cs="Calibri" w:eastAsia="Calibri" w:hAnsi="Calibri"/>
          <w:b/>
          <w:bCs/>
          <w:color w:val="333333"/>
          <w:sz w:val="22"/>
          <w:szCs w:val="22"/>
        </w:rPr>
        <w:t xml:space="preserve">Lo que cuesta</w:t>
      </w:r>
    </w:p>
    <w:p>
      <w:pPr>
        <w:spacing w:after="120" w:before="0" w:line="276"/>
      </w:pPr>
      <w:r>
        <w:rPr>
          <w:rFonts w:ascii="Calibri" w:cs="Calibri" w:eastAsia="Calibri" w:hAnsi="Calibri"/>
          <w:color w:val="1A1A1A"/>
          <w:sz w:val="21"/>
          <w:szCs w:val="21"/>
        </w:rPr>
        <w:t xml:space="preserve">Cinco mil notas, unos 150 tokens de entrada y 60 de salida cada una:</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2000"/>
        <w:gridCol w:w="2700"/>
        <w:gridCol w:w="2100"/>
        <w:gridCol w:w="2560"/>
      </w:tblGrid>
      <w:tr>
        <w:trPr>
          <w:tblHeader/>
        </w:trPr>
        <w:tc>
          <w:tcPr>
            <w:tcW w:type="dxa" w:w="20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Modelo</w:t>
            </w:r>
          </w:p>
        </w:tc>
        <w:tc>
          <w:tcPr>
            <w:tcW w:type="dxa" w:w="27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Precio por millón de tokens</w:t>
            </w:r>
          </w:p>
        </w:tc>
        <w:tc>
          <w:tcPr>
            <w:tcW w:type="dxa" w:w="21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Las 5 000 notas</w:t>
            </w:r>
          </w:p>
        </w:tc>
        <w:tc>
          <w:tcPr>
            <w:tcW w:type="dxa" w:w="25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A escala del banco (2 M al mes)</w:t>
            </w:r>
          </w:p>
        </w:tc>
      </w:tr>
      <w:tr>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Amazon Nova Micro</w:t>
            </w:r>
          </w:p>
        </w:tc>
        <w:tc>
          <w:tcPr>
            <w:tcW w:type="dxa" w:w="2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$0,035 entrada · $0,14 salida</w:t>
            </w:r>
          </w:p>
        </w:tc>
        <w:tc>
          <w:tcPr>
            <w:tcW w:type="dxa" w:w="21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$0,07</w:t>
            </w:r>
          </w:p>
        </w:tc>
        <w:tc>
          <w:tcPr>
            <w:tcW w:type="dxa" w:w="25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unos $27 al mes</w:t>
            </w:r>
          </w:p>
        </w:tc>
      </w:tr>
      <w:tr>
        <w:tc>
          <w:tcPr>
            <w:tcW w:type="dxa" w:w="20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Amazon Nova Lite</w:t>
            </w:r>
          </w:p>
        </w:tc>
        <w:tc>
          <w:tcPr>
            <w:tcW w:type="dxa" w:w="2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$0,06 entrada · $0,24 salida</w:t>
            </w:r>
          </w:p>
        </w:tc>
        <w:tc>
          <w:tcPr>
            <w:tcW w:type="dxa" w:w="21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$0,12</w:t>
            </w:r>
          </w:p>
        </w:tc>
        <w:tc>
          <w:tcPr>
            <w:tcW w:type="dxa" w:w="25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unos $47 al mes</w:t>
            </w:r>
          </w:p>
        </w:tc>
      </w:tr>
      <w:tr>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Amazon Nova Pro</w:t>
            </w:r>
          </w:p>
        </w:tc>
        <w:tc>
          <w:tcPr>
            <w:tcW w:type="dxa" w:w="2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$0,80 entrada · $3,20 salida</w:t>
            </w:r>
          </w:p>
        </w:tc>
        <w:tc>
          <w:tcPr>
            <w:tcW w:type="dxa" w:w="21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$1,56</w:t>
            </w:r>
          </w:p>
        </w:tc>
        <w:tc>
          <w:tcPr>
            <w:tcW w:type="dxa" w:w="25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unos $624 al mes</w:t>
            </w:r>
          </w:p>
        </w:tc>
      </w:tr>
    </w:tbl>
    <w:p>
      <w:pPr>
        <w:keepNext w:val="false"/>
        <w:spacing w:after="100"/>
      </w:pPr>
    </w:p>
    <w:p>
      <w:pPr>
        <w:spacing w:after="120" w:before="0" w:line="276"/>
      </w:pPr>
      <w:r>
        <w:rPr>
          <w:rFonts w:ascii="Calibri" w:cs="Calibri" w:eastAsia="Calibri" w:hAnsi="Calibri"/>
          <w:b/>
          <w:bCs/>
          <w:color w:val="1A1A1A"/>
          <w:sz w:val="21"/>
          <w:szCs w:val="21"/>
        </w:rPr>
        <w:t xml:space="preserve">Esa última columna es una lámina. </w:t>
      </w:r>
      <w:r>
        <w:rPr>
          <w:rFonts w:ascii="Calibri" w:cs="Calibri" w:eastAsia="Calibri" w:hAnsi="Calibri"/>
          <w:color w:val="1A1A1A"/>
          <w:sz w:val="21"/>
          <w:szCs w:val="21"/>
        </w:rPr>
        <w:t xml:space="preserve">A nuestra escala los tres son gratis y da igual cuál se use. A la escala del banco, elegir el modelo grande «por si acaso» multiplica la factura por veintitrés para la misma tarea. Es exactamente lo que nos dijeron en la charla del área de inteligencia artificial sobre evaluar el consumo antes de construir el agente.</w:t>
      </w:r>
    </w:p>
    <w:p>
      <w:pPr>
        <w:pStyle w:val="Heading3"/>
        <w:spacing w:after="80" w:before="200"/>
      </w:pPr>
      <w:r>
        <w:rPr>
          <w:rFonts w:ascii="Calibri" w:cs="Calibri" w:eastAsia="Calibri" w:hAnsi="Calibri"/>
          <w:b/>
          <w:bCs/>
          <w:color w:val="333333"/>
          <w:sz w:val="22"/>
          <w:szCs w:val="22"/>
        </w:rPr>
        <w:t xml:space="preserve">El arnés</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2200"/>
        <w:gridCol w:w="7160"/>
      </w:tblGrid>
      <w:tr>
        <w:trPr>
          <w:tblHeader/>
        </w:trPr>
        <w:tc>
          <w:tcPr>
            <w:tcW w:type="dxa" w:w="22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Elemento</w:t>
            </w:r>
          </w:p>
        </w:tc>
        <w:tc>
          <w:tcPr>
            <w:tcW w:type="dxa" w:w="71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Cómo lo hacemos</w:t>
            </w:r>
          </w:p>
        </w:tc>
      </w:tr>
      <w:tr>
        <w:tc>
          <w:tcPr>
            <w:tcW w:type="dxa" w:w="2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Presupuesto de tokens</w:t>
            </w:r>
          </w:p>
        </w:tc>
        <w:tc>
          <w:tcPr>
            <w:tcW w:type="dxa" w:w="71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Tope de 1 000 tokens por nota; si lo excede, se trunca y se marca para revisión humana</w:t>
            </w:r>
          </w:p>
        </w:tc>
      </w:tr>
      <w:tr>
        <w:tc>
          <w:tcPr>
            <w:tcW w:type="dxa" w:w="2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Log por corrida</w:t>
            </w:r>
          </w:p>
        </w:tc>
        <w:tc>
          <w:tcPr>
            <w:tcW w:type="dxa" w:w="71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CloudWatch y S3: identificador, modelo, versión del prompt, tokens de entrada y salida, latencia y decisión</w:t>
            </w:r>
          </w:p>
        </w:tc>
      </w:tr>
      <w:tr>
        <w:tc>
          <w:tcPr>
            <w:tcW w:type="dxa" w:w="2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Evaluación</w:t>
            </w:r>
          </w:p>
        </w:tc>
        <w:tc>
          <w:tcPr>
            <w:tcW w:type="dxa" w:w="71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30 notas etiquetadas a mano por los tres, con 5 difíciles y 2 que intentan manipular al modelo desde el texto</w:t>
            </w:r>
          </w:p>
        </w:tc>
      </w:tr>
      <w:tr>
        <w:tc>
          <w:tcPr>
            <w:tcW w:type="dxa" w:w="2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Versionado</w:t>
            </w:r>
          </w:p>
        </w:tc>
        <w:tc>
          <w:tcPr>
            <w:tcW w:type="dxa" w:w="71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prompt vive en el repositorio con número de versión, y cada registro del log apunta a la versión que lo produjo</w:t>
            </w:r>
          </w:p>
        </w:tc>
      </w:tr>
      <w:tr>
        <w:tc>
          <w:tcPr>
            <w:tcW w:type="dxa" w:w="2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Protección de datos</w:t>
            </w:r>
          </w:p>
        </w:tc>
        <w:tc>
          <w:tcPr>
            <w:tcW w:type="dxa" w:w="71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Antes de enviar se quitan nombre, DNI y número de cuenta. El modelo ve el texto y un identificador interno</w:t>
            </w:r>
          </w:p>
        </w:tc>
      </w:tr>
      <w:tr>
        <w:tc>
          <w:tcPr>
            <w:tcW w:type="dxa" w:w="2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modelo no decide</w:t>
            </w:r>
          </w:p>
        </w:tc>
        <w:tc>
          <w:tcPr>
            <w:tcW w:type="dxa" w:w="71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modelo clasifica; a quién se llama lo decide la consulta SQL. Esa separación es la que permite auditar</w:t>
            </w:r>
          </w:p>
        </w:tc>
      </w:tr>
    </w:tbl>
    <w:p>
      <w:r>
        <w:br w:type="page"/>
      </w:r>
    </w:p>
    <w:p>
      <w:pPr>
        <w:pStyle w:val="Heading1"/>
        <w:pBdr>
          <w:bottom w:val="single" w:color="BFD3E6" w:sz="6" w:space="6"/>
        </w:pBdr>
        <w:spacing w:after="160" w:before="400"/>
      </w:pPr>
      <w:r>
        <w:rPr>
          <w:rFonts w:ascii="Calibri" w:cs="Calibri" w:eastAsia="Calibri" w:hAnsi="Calibri"/>
          <w:b/>
          <w:bCs/>
          <w:color w:val="1F4E79"/>
          <w:sz w:val="30"/>
          <w:szCs w:val="30"/>
        </w:rPr>
        <w:t xml:space="preserve">5. Vista general del reparto</w:t>
      </w:r>
    </w:p>
    <w:p>
      <w:pPr>
        <w:spacing w:after="120" w:before="0" w:line="276"/>
      </w:pPr>
      <w:r>
        <w:rPr>
          <w:rFonts w:ascii="Calibri" w:cs="Calibri" w:eastAsia="Calibri" w:hAnsi="Calibri"/>
          <w:color w:val="1A1A1A"/>
          <w:sz w:val="21"/>
          <w:szCs w:val="21"/>
        </w:rPr>
        <w:t xml:space="preserve">Cada casilla es el trabajo de una persona en un día. La etiqueta de abajo dice si puede arrancar sola o si necesita algo de otro.</w:t>
      </w:r>
    </w:p>
    <w:p>
      <w:pPr>
        <w:spacing w:after="80" w:before="120"/>
        <w:jc w:val="center"/>
      </w:pPr>
      <w:r>
        <w:drawing>
          <wp:inline distT="0" distB="0" distL="0" distR="0">
            <wp:extent cx="59436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5657850"/>
                    </a:xfrm>
                    <a:prstGeom prst="rect">
                      <a:avLst/>
                    </a:prstGeom>
                  </pic:spPr>
                </pic:pic>
              </a:graphicData>
            </a:graphic>
          </wp:inline>
        </w:drawing>
      </w:r>
    </w:p>
    <w:p>
      <w:pPr>
        <w:spacing w:after="240" w:before="0" w:line="276"/>
        <w:jc w:val="center"/>
      </w:pPr>
      <w:r>
        <w:rPr>
          <w:rFonts w:ascii="Calibri" w:cs="Calibri" w:eastAsia="Calibri" w:hAnsi="Calibri"/>
          <w:i/>
          <w:iCs/>
          <w:color w:val="555555"/>
          <w:sz w:val="18"/>
          <w:szCs w:val="18"/>
        </w:rPr>
        <w:t xml:space="preserve">Figura 1. Plan de trabajo, con las dependencias marcadas.</w:t>
      </w:r>
    </w:p>
    <w:p>
      <w:pPr>
        <w:pStyle w:val="Heading2"/>
        <w:spacing w:after="100" w:before="280"/>
      </w:pPr>
      <w:r>
        <w:rPr>
          <w:rFonts w:ascii="Calibri" w:cs="Calibri" w:eastAsia="Calibri" w:hAnsi="Calibri"/>
          <w:b/>
          <w:bCs/>
          <w:color w:val="1F4E79"/>
          <w:sz w:val="24"/>
          <w:szCs w:val="24"/>
        </w:rPr>
        <w:t xml:space="preserve">5.1 Quién hace qué</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900"/>
        <w:gridCol w:w="2500"/>
        <w:gridCol w:w="5960"/>
      </w:tblGrid>
      <w:tr>
        <w:trPr>
          <w:tblHeader/>
        </w:trPr>
        <w:tc>
          <w:tcPr>
            <w:tcW w:type="dxa" w:w="9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Quién</w:t>
            </w:r>
          </w:p>
        </w:tc>
        <w:tc>
          <w:tcPr>
            <w:tcW w:type="dxa" w:w="25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Su frente</w:t>
            </w:r>
          </w:p>
        </w:tc>
        <w:tc>
          <w:tcPr>
            <w:tcW w:type="dxa" w:w="59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De qué es dueño</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2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Analítica, IA visual y automatización</w:t>
            </w:r>
          </w:p>
        </w:tc>
        <w:tc>
          <w:tcPr>
            <w:tcW w:type="dxa" w:w="59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dashboard con sus cinco páginas y los visuales de inteligencia artificial · los flujos de Power Automate: el estado de cuenta por correo, el código de verificación y el correo de la mañana con la lista · el guion y el deck de la exposición</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2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AWS, pipeline y GenAI</w:t>
            </w:r>
          </w:p>
        </w:tc>
        <w:tc>
          <w:tcPr>
            <w:tcW w:type="dxa" w:w="59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cuenta y la base en AWS · el lago por capas · las reglas de calidad y el corte automático · Step Functions y las alertas · el modelo estrella en Gold · la seguridad de secretos y roles · el prompt del clasificador y la Lambda de Bedrock que lo corre · la API de ingesta que recibe lo que manda la app de Azure</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2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Base de datos y data simulada</w:t>
            </w:r>
          </w:p>
        </w:tc>
        <w:tc>
          <w:tcPr>
            <w:tcW w:type="dxa" w:w="59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script maestro corregido y las migraciones · el generador v2 con sus dos salidas, limpia y RAW · el catálogo de errores y las notas de gestión · la vista de priorización · las siete pruebas de integridad · la app de cobranza que muestra la lista y la cuarentena · el diagrama ER, el diccionario y la demo de los «2 segundos»</w:t>
            </w:r>
          </w:p>
        </w:tc>
      </w:tr>
    </w:tbl>
    <w:p>
      <w:pPr>
        <w:keepNext w:val="false"/>
        <w:spacing w:after="100"/>
      </w:pPr>
    </w:p>
    <w:p>
      <w:pPr>
        <w:spacing w:after="120" w:before="0" w:line="276"/>
      </w:pPr>
      <w:r>
        <w:rPr>
          <w:rFonts w:ascii="Calibri" w:cs="Calibri" w:eastAsia="Calibri" w:hAnsi="Calibri"/>
          <w:color w:val="1A1A1A"/>
          <w:sz w:val="21"/>
          <w:szCs w:val="21"/>
        </w:rPr>
        <w:t xml:space="preserve">Nadie toca el frente del otro. Si algo cruza —por ejemplo, una columna que falta en la data— se pide al dueño del frente, no se parcha por fuera, porque después no cuadra.</w:t>
      </w:r>
    </w:p>
    <w:p>
      <w:pPr>
        <w:pStyle w:val="Heading2"/>
        <w:spacing w:after="100" w:before="280"/>
      </w:pPr>
      <w:r>
        <w:rPr>
          <w:rFonts w:ascii="Calibri" w:cs="Calibri" w:eastAsia="Calibri" w:hAnsi="Calibri"/>
          <w:b/>
          <w:bCs/>
          <w:color w:val="1F4E79"/>
          <w:sz w:val="24"/>
          <w:szCs w:val="24"/>
        </w:rPr>
        <w:t xml:space="preserve">5.2 Las dependencias, en orden</w:t>
      </w:r>
    </w:p>
    <w:p>
      <w:pPr>
        <w:pStyle w:val="ListParagraph"/>
        <w:numPr>
          <w:ilvl w:val="0"/>
          <w:numId w:val="4"/>
        </w:numPr>
        <w:spacing w:after="70" w:line="276"/>
      </w:pPr>
      <w:r>
        <w:rPr>
          <w:rFonts w:ascii="Calibri" w:cs="Calibri" w:eastAsia="Calibri" w:hAnsi="Calibri"/>
          <w:b/>
          <w:bCs/>
          <w:color w:val="1A1A1A"/>
          <w:sz w:val="21"/>
          <w:szCs w:val="21"/>
        </w:rPr>
        <w:t xml:space="preserve">Sábado: nadie depende de nadie. </w:t>
      </w:r>
      <w:r>
        <w:rPr>
          <w:rFonts w:ascii="Calibri" w:cs="Calibri" w:eastAsia="Calibri" w:hAnsi="Calibri"/>
          <w:color w:val="1A1A1A"/>
          <w:sz w:val="21"/>
          <w:szCs w:val="21"/>
        </w:rPr>
        <w:t xml:space="preserve">Los tres pueden arrancar esta misma noche. Por eso el sábado es el día que no se puede perder.</w:t>
      </w:r>
    </w:p>
    <w:p>
      <w:pPr>
        <w:pStyle w:val="ListParagraph"/>
        <w:numPr>
          <w:ilvl w:val="0"/>
          <w:numId w:val="4"/>
        </w:numPr>
        <w:spacing w:after="70" w:line="276"/>
      </w:pPr>
      <w:r>
        <w:rPr>
          <w:rFonts w:ascii="Calibri" w:cs="Calibri" w:eastAsia="Calibri" w:hAnsi="Calibri"/>
          <w:b/>
          <w:bCs/>
          <w:color w:val="1A1A1A"/>
          <w:sz w:val="21"/>
          <w:szCs w:val="21"/>
        </w:rPr>
        <w:t xml:space="preserve">Domingo 13:00 — la única dependencia dura. </w:t>
      </w:r>
      <w:r>
        <w:rPr>
          <w:rFonts w:ascii="Calibri" w:cs="Calibri" w:eastAsia="Calibri" w:hAnsi="Calibri"/>
          <w:color w:val="1A1A1A"/>
          <w:sz w:val="21"/>
          <w:szCs w:val="21"/>
        </w:rPr>
        <w:t xml:space="preserve">Ivan entrega la data v2. Victor la necesita para cargar la base y Jessi para el dashboard definitivo. Por eso Ivan publica el contrato de datos el sábado, y los otros dos arrancan con una maqueta hecha del dataset viejo cambiando solo la fuente cuando llegue la buena.</w:t>
      </w:r>
    </w:p>
    <w:p>
      <w:pPr>
        <w:pStyle w:val="ListParagraph"/>
        <w:numPr>
          <w:ilvl w:val="0"/>
          <w:numId w:val="4"/>
        </w:numPr>
        <w:spacing w:after="70" w:line="276"/>
      </w:pPr>
      <w:r>
        <w:rPr>
          <w:rFonts w:ascii="Calibri" w:cs="Calibri" w:eastAsia="Calibri" w:hAnsi="Calibri"/>
          <w:b/>
          <w:bCs/>
          <w:color w:val="1A1A1A"/>
          <w:sz w:val="21"/>
          <w:szCs w:val="21"/>
        </w:rPr>
        <w:t xml:space="preserve">Lunes: Victor necesita las notas y el prompt. </w:t>
      </w:r>
      <w:r>
        <w:rPr>
          <w:rFonts w:ascii="Calibri" w:cs="Calibri" w:eastAsia="Calibri" w:hAnsi="Calibri"/>
          <w:color w:val="1A1A1A"/>
          <w:sz w:val="21"/>
          <w:szCs w:val="21"/>
        </w:rPr>
        <w:t xml:space="preserve">Las notas las genera Ivan el domingo y el prompt lo escribe Jessi el domingo, así que el lunes Victor ya los tiene.</w:t>
      </w:r>
    </w:p>
    <w:p>
      <w:pPr>
        <w:pStyle w:val="ListParagraph"/>
        <w:numPr>
          <w:ilvl w:val="0"/>
          <w:numId w:val="4"/>
        </w:numPr>
        <w:spacing w:after="70" w:line="276"/>
      </w:pPr>
      <w:r>
        <w:rPr>
          <w:rFonts w:ascii="Calibri" w:cs="Calibri" w:eastAsia="Calibri" w:hAnsi="Calibri"/>
          <w:b/>
          <w:bCs/>
          <w:color w:val="1A1A1A"/>
          <w:sz w:val="21"/>
          <w:szCs w:val="21"/>
        </w:rPr>
        <w:t xml:space="preserve">Lunes: Jessi necesita el Gold de Victor. </w:t>
      </w:r>
      <w:r>
        <w:rPr>
          <w:rFonts w:ascii="Calibri" w:cs="Calibri" w:eastAsia="Calibri" w:hAnsi="Calibri"/>
          <w:color w:val="1A1A1A"/>
          <w:sz w:val="21"/>
          <w:szCs w:val="21"/>
        </w:rPr>
        <w:t xml:space="preserve">Hasta que no esté, trabaja con el modelo del domingo y arma la app, que no depende de nadie.</w:t>
      </w:r>
    </w:p>
    <w:p>
      <w:pPr>
        <w:pStyle w:val="ListParagraph"/>
        <w:numPr>
          <w:ilvl w:val="0"/>
          <w:numId w:val="4"/>
        </w:numPr>
        <w:spacing w:after="70" w:line="276"/>
      </w:pPr>
      <w:r>
        <w:rPr>
          <w:rFonts w:ascii="Calibri" w:cs="Calibri" w:eastAsia="Calibri" w:hAnsi="Calibri"/>
          <w:b/>
          <w:bCs/>
          <w:color w:val="1A1A1A"/>
          <w:sz w:val="21"/>
          <w:szCs w:val="21"/>
        </w:rPr>
        <w:t xml:space="preserve">Martes: Jessi necesita las demos de los otros dos </w:t>
      </w:r>
      <w:r>
        <w:rPr>
          <w:rFonts w:ascii="Calibri" w:cs="Calibri" w:eastAsia="Calibri" w:hAnsi="Calibri"/>
          <w:color w:val="1A1A1A"/>
          <w:sz w:val="21"/>
          <w:szCs w:val="21"/>
        </w:rPr>
        <w:t xml:space="preserve">para armar el guion y los videos. Por eso el lunes a las 22:00 se congela lo que funciona.</w:t>
      </w:r>
    </w:p>
    <w:p>
      <w:pPr>
        <w:pStyle w:val="ListParagraph"/>
        <w:numPr>
          <w:ilvl w:val="0"/>
          <w:numId w:val="4"/>
        </w:numPr>
        <w:spacing w:after="70" w:line="276"/>
      </w:pPr>
      <w:r>
        <w:rPr>
          <w:rFonts w:ascii="Calibri" w:cs="Calibri" w:eastAsia="Calibri" w:hAnsi="Calibri"/>
          <w:b/>
          <w:bCs/>
          <w:color w:val="1A1A1A"/>
          <w:sz w:val="21"/>
          <w:szCs w:val="21"/>
        </w:rPr>
        <w:t xml:space="preserve">Lunes temprano: Ivan necesita el endpoint de Victor. </w:t>
      </w:r>
      <w:r>
        <w:rPr>
          <w:rFonts w:ascii="Calibri" w:cs="Calibri" w:eastAsia="Calibri" w:hAnsi="Calibri"/>
          <w:color w:val="1A1A1A"/>
          <w:sz w:val="21"/>
          <w:szCs w:val="21"/>
        </w:rPr>
        <w:t xml:space="preserve">Los botones de la app no se pueden enganchar contra nada hasta que la Lambda de ingesta responda, así que esa es la primera tarea del lunes de Victor, antes que Step Functions.</w:t>
      </w:r>
    </w:p>
    <w:p>
      <w:pPr>
        <w:keepNext w:val="false"/>
        <w:spacing w:after="60"/>
      </w:pPr>
    </w:p>
    <w:tbl>
      <w:tblPr>
        <w:tblW w:type="dxa" w:w="9360"/>
        <w:tblBorders>
          <w:top w:val="none" w:color="FFFFFF" w:sz="0"/>
          <w:left w:val="single" w:color="E0A64A" w:sz="18"/>
          <w:bottom w:val="none" w:color="FFFFFF" w:sz="0"/>
          <w:right w:val="none" w:color="FFFFFF" w:sz="0"/>
          <w:insideH w:val="none" w:color="FFFFFF" w:sz="0"/>
          <w:insideV w:val="none" w:color="FFFFFF" w:sz="0"/>
        </w:tblBorders>
      </w:tblPr>
      <w:tblGrid>
        <w:gridCol w:w="9360"/>
      </w:tblGrid>
      <w:tr>
        <w:tc>
          <w:tcPr>
            <w:tcW w:type="dxa" w:w="9360"/>
            <w:shd w:fill="FFF6E5" w:val="clear"/>
            <w:tcMar>
              <w:top w:type="dxa" w:w="140"/>
              <w:left w:type="dxa" w:w="200"/>
              <w:bottom w:type="dxa" w:w="140"/>
              <w:right w:type="dxa" w:w="200"/>
            </w:tcMar>
          </w:tcPr>
          <w:p>
            <w:pPr>
              <w:spacing w:after="0" w:before="0" w:line="276"/>
            </w:pPr>
            <w:r>
              <w:rPr>
                <w:rFonts w:ascii="Calibri" w:cs="Calibri" w:eastAsia="Calibri" w:hAnsi="Calibri"/>
                <w:b/>
                <w:bCs/>
                <w:color w:val="5A4520"/>
                <w:sz w:val="21"/>
                <w:szCs w:val="21"/>
              </w:rPr>
              <w:t xml:space="preserve">Si el domingo a las 18:00 la data v2 no está: </w:t>
            </w:r>
            <w:r>
              <w:rPr>
                <w:rFonts w:ascii="Calibri" w:cs="Calibri" w:eastAsia="Calibri" w:hAnsi="Calibri"/>
                <w:color w:val="1A1A1A"/>
                <w:sz w:val="21"/>
                <w:szCs w:val="21"/>
              </w:rPr>
              <w:t xml:space="preserve">se entrega lo que haya, aunque le falten los pagos o los últimos meses. Una data incompleta pero cargada vale mucho más que una perfecta que nadie alcanzó a usar.</w:t>
            </w:r>
          </w:p>
        </w:tc>
      </w:tr>
    </w:tbl>
    <w:p>
      <w:pPr>
        <w:keepNext w:val="false"/>
        <w:spacing w:after="160"/>
      </w:pPr>
    </w:p>
    <w:p>
      <w:pPr>
        <w:pStyle w:val="Heading1"/>
        <w:pBdr>
          <w:bottom w:val="single" w:color="BFD3E6" w:sz="6" w:space="6"/>
        </w:pBdr>
        <w:spacing w:after="160" w:before="400"/>
      </w:pPr>
      <w:r>
        <w:rPr>
          <w:rFonts w:ascii="Calibri" w:cs="Calibri" w:eastAsia="Calibri" w:hAnsi="Calibri"/>
          <w:b/>
          <w:bCs/>
          <w:color w:val="1F4E79"/>
          <w:sz w:val="30"/>
          <w:szCs w:val="30"/>
        </w:rPr>
        <w:t xml:space="preserve">6. Antes de empezar (los tres, 20 minutos)</w:t>
      </w:r>
    </w:p>
    <w:p>
      <w:pPr>
        <w:pStyle w:val="ListParagraph"/>
        <w:numPr>
          <w:ilvl w:val="0"/>
          <w:numId w:val="4"/>
        </w:numPr>
        <w:spacing w:after="70" w:line="276"/>
      </w:pPr>
      <w:r>
        <w:rPr>
          <w:rFonts w:ascii="Calibri" w:cs="Calibri" w:eastAsia="Calibri" w:hAnsi="Calibri"/>
          <w:color w:val="1A1A1A"/>
          <w:sz w:val="21"/>
          <w:szCs w:val="21"/>
        </w:rPr>
        <w:t xml:space="preserve">Un repositorio en GitHub con tres carpetas: database, aws y bi-automation. Cada uno en la suya. Un .gitignore desde el primer commit para que no se suba ninguna clave.</w:t>
      </w:r>
    </w:p>
    <w:p>
      <w:pPr>
        <w:pStyle w:val="ListParagraph"/>
        <w:numPr>
          <w:ilvl w:val="0"/>
          <w:numId w:val="4"/>
        </w:numPr>
        <w:spacing w:after="70" w:line="276"/>
      </w:pPr>
      <w:r>
        <w:rPr>
          <w:rFonts w:ascii="Calibri" w:cs="Calibri" w:eastAsia="Calibri" w:hAnsi="Calibri"/>
          <w:color w:val="1A1A1A"/>
          <w:sz w:val="21"/>
          <w:szCs w:val="21"/>
        </w:rPr>
        <w:t xml:space="preserve">Una carpeta compartida en OneDrive con tres subcarpetas: data, gold y capturas.</w:t>
      </w:r>
    </w:p>
    <w:p>
      <w:pPr>
        <w:pStyle w:val="ListParagraph"/>
        <w:numPr>
          <w:ilvl w:val="0"/>
          <w:numId w:val="4"/>
        </w:numPr>
        <w:spacing w:after="70" w:line="276"/>
      </w:pPr>
      <w:r>
        <w:rPr>
          <w:rFonts w:ascii="Calibri" w:cs="Calibri" w:eastAsia="Calibri" w:hAnsi="Calibri"/>
          <w:color w:val="1A1A1A"/>
          <w:sz w:val="21"/>
          <w:szCs w:val="21"/>
        </w:rPr>
        <w:t xml:space="preserve">Victor crea la cuenta AWS, activa MFA en la raíz y pone la alerta de presupuesto a cinco dólares antes de crear cualquier servicio.</w:t>
      </w:r>
    </w:p>
    <w:p>
      <w:pPr>
        <w:pStyle w:val="ListParagraph"/>
        <w:numPr>
          <w:ilvl w:val="0"/>
          <w:numId w:val="4"/>
        </w:numPr>
        <w:spacing w:after="70" w:line="276"/>
      </w:pPr>
      <w:r>
        <w:rPr>
          <w:rFonts w:ascii="Calibri" w:cs="Calibri" w:eastAsia="Calibri" w:hAnsi="Calibri"/>
          <w:color w:val="1A1A1A"/>
          <w:sz w:val="21"/>
          <w:szCs w:val="21"/>
        </w:rPr>
        <w:t xml:space="preserve">Jessi hace la prueba de 30 minutos de Power Automate. Es lo primero que hay que descartar: si la universidad lo tiene bloqueado, ese frente cambia y conviene saberlo esta noche.</w:t>
      </w:r>
    </w:p>
    <w:p>
      <w:pPr>
        <w:pStyle w:val="ListParagraph"/>
        <w:numPr>
          <w:ilvl w:val="0"/>
          <w:numId w:val="4"/>
        </w:numPr>
        <w:spacing w:after="70" w:line="276"/>
      </w:pPr>
      <w:r>
        <w:rPr>
          <w:rFonts w:ascii="Calibri" w:cs="Calibri" w:eastAsia="Calibri" w:hAnsi="Calibri"/>
          <w:color w:val="1A1A1A"/>
          <w:sz w:val="21"/>
          <w:szCs w:val="21"/>
        </w:rPr>
        <w:t xml:space="preserve">Nada se da por terminado hasta que otra persona lo haya visto correr.</w:t>
      </w:r>
    </w:p>
    <w:p>
      <w:r>
        <w:br w:type="page"/>
      </w:r>
    </w:p>
    <w:p>
      <w:pPr>
        <w:pStyle w:val="Heading1"/>
        <w:pBdr>
          <w:bottom w:val="single" w:color="BFD3E6" w:sz="6" w:space="6"/>
        </w:pBdr>
        <w:spacing w:after="160" w:before="400"/>
      </w:pPr>
      <w:r>
        <w:rPr>
          <w:rFonts w:ascii="Calibri" w:cs="Calibri" w:eastAsia="Calibri" w:hAnsi="Calibri"/>
          <w:b/>
          <w:bCs/>
          <w:color w:val="1F4E79"/>
          <w:sz w:val="30"/>
          <w:szCs w:val="30"/>
        </w:rPr>
        <w:t xml:space="preserve">7. Ivan — Base de datos y data simulada</w:t>
      </w:r>
    </w:p>
    <w:p>
      <w:pPr>
        <w:spacing w:after="120" w:before="0" w:line="276"/>
      </w:pPr>
      <w:r>
        <w:rPr>
          <w:rFonts w:ascii="Calibri" w:cs="Calibri" w:eastAsia="Calibri" w:hAnsi="Calibri"/>
          <w:color w:val="1A1A1A"/>
          <w:sz w:val="21"/>
          <w:szCs w:val="21"/>
        </w:rPr>
        <w:t xml:space="preserve">Es el frente más grande y el que está en la ruta crítica. Buena parte del diseño ya está hecho y está bien: no hay que empezar de cero, hay que corregir, completar y regenerar.</w:t>
      </w:r>
    </w:p>
    <w:p>
      <w:pPr>
        <w:pStyle w:val="Heading2"/>
        <w:spacing w:after="100" w:before="280"/>
      </w:pPr>
      <w:r>
        <w:rPr>
          <w:rFonts w:ascii="Calibri" w:cs="Calibri" w:eastAsia="Calibri" w:hAnsi="Calibri"/>
          <w:b/>
          <w:bCs/>
          <w:color w:val="1F4E79"/>
          <w:sz w:val="24"/>
          <w:szCs w:val="24"/>
        </w:rPr>
        <w:t xml:space="preserve">7.1 Lo que ya está hecho y se queda igual</w:t>
      </w:r>
    </w:p>
    <w:p>
      <w:pPr>
        <w:pStyle w:val="ListParagraph"/>
        <w:numPr>
          <w:ilvl w:val="0"/>
          <w:numId w:val="4"/>
        </w:numPr>
        <w:spacing w:after="70" w:line="276"/>
      </w:pPr>
      <w:r>
        <w:rPr>
          <w:rFonts w:ascii="Calibri" w:cs="Calibri" w:eastAsia="Calibri" w:hAnsi="Calibri"/>
          <w:color w:val="1A1A1A"/>
          <w:sz w:val="21"/>
          <w:szCs w:val="21"/>
        </w:rPr>
        <w:t xml:space="preserve">Los seis esquemas separados: core, reference, security, dq, ai y analytics.</w:t>
      </w:r>
    </w:p>
    <w:p>
      <w:pPr>
        <w:pStyle w:val="ListParagraph"/>
        <w:numPr>
          <w:ilvl w:val="0"/>
          <w:numId w:val="4"/>
        </w:numPr>
        <w:spacing w:after="70" w:line="276"/>
      </w:pPr>
      <w:r>
        <w:rPr>
          <w:rFonts w:ascii="Calibri" w:cs="Calibri" w:eastAsia="Calibri" w:hAnsi="Calibri"/>
          <w:color w:val="1A1A1A"/>
          <w:sz w:val="21"/>
          <w:szCs w:val="21"/>
        </w:rPr>
        <w:t xml:space="preserve">El módulo de créditos desacoplado en solicitud, evaluación, crédito, cuotas y pagos.</w:t>
      </w:r>
    </w:p>
    <w:p>
      <w:pPr>
        <w:pStyle w:val="ListParagraph"/>
        <w:numPr>
          <w:ilvl w:val="0"/>
          <w:numId w:val="4"/>
        </w:numPr>
        <w:spacing w:after="70" w:line="276"/>
      </w:pPr>
      <w:r>
        <w:rPr>
          <w:rFonts w:ascii="Calibri" w:cs="Calibri" w:eastAsia="Calibri" w:hAnsi="Calibri"/>
          <w:color w:val="1A1A1A"/>
          <w:sz w:val="21"/>
          <w:szCs w:val="21"/>
        </w:rPr>
        <w:t xml:space="preserve">El ledger de doble partida con débito y crédito por cada transacción. Es el mejor diferenciador del diseño.</w:t>
      </w:r>
    </w:p>
    <w:p>
      <w:pPr>
        <w:pStyle w:val="ListParagraph"/>
        <w:numPr>
          <w:ilvl w:val="0"/>
          <w:numId w:val="4"/>
        </w:numPr>
        <w:spacing w:after="70" w:line="276"/>
      </w:pPr>
      <w:r>
        <w:rPr>
          <w:rFonts w:ascii="Calibri" w:cs="Calibri" w:eastAsia="Calibri" w:hAnsi="Calibri"/>
          <w:color w:val="1A1A1A"/>
          <w:sz w:val="21"/>
          <w:szCs w:val="21"/>
        </w:rPr>
        <w:t xml:space="preserve">Las reversiones en vez de borrar, el particionado de transacciones por mes y el procedimiento de transferencia con bloqueo de filas.</w:t>
      </w:r>
    </w:p>
    <w:p>
      <w:pPr>
        <w:pStyle w:val="ListParagraph"/>
        <w:numPr>
          <w:ilvl w:val="0"/>
          <w:numId w:val="4"/>
        </w:numPr>
        <w:spacing w:after="70" w:line="276"/>
      </w:pPr>
      <w:r>
        <w:rPr>
          <w:rFonts w:ascii="Calibri" w:cs="Calibri" w:eastAsia="Calibri" w:hAnsi="Calibri"/>
          <w:color w:val="1A1A1A"/>
          <w:sz w:val="21"/>
          <w:szCs w:val="21"/>
        </w:rPr>
        <w:t xml:space="preserve">El DNI guardado como hash para buscar y cifrado para recuperar, y las tablas de calidad en el esquema dq.</w:t>
      </w:r>
    </w:p>
    <w:p>
      <w:pPr>
        <w:pStyle w:val="Heading2"/>
        <w:spacing w:after="100" w:before="280"/>
      </w:pPr>
      <w:r>
        <w:rPr>
          <w:rFonts w:ascii="Calibri" w:cs="Calibri" w:eastAsia="Calibri" w:hAnsi="Calibri"/>
          <w:b/>
          <w:bCs/>
          <w:color w:val="1F4E79"/>
          <w:sz w:val="24"/>
          <w:szCs w:val="24"/>
        </w:rPr>
        <w:t xml:space="preserve">7.2 Las cuatro correcciones bloqueantes</w:t>
      </w:r>
    </w:p>
    <w:p>
      <w:pPr>
        <w:spacing w:after="120" w:before="0" w:line="276"/>
      </w:pPr>
      <w:r>
        <w:rPr>
          <w:rFonts w:ascii="Calibri" w:cs="Calibri" w:eastAsia="Calibri" w:hAnsi="Calibri"/>
          <w:color w:val="1A1A1A"/>
          <w:sz w:val="21"/>
          <w:szCs w:val="21"/>
        </w:rPr>
        <w:t xml:space="preserve">El script tal como está no llega a crear la base. Son cuatro cosas, ninguna difícil, pero hasta que estén ninguna demo funciona.</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500"/>
        <w:gridCol w:w="4400"/>
        <w:gridCol w:w="4460"/>
      </w:tblGrid>
      <w:tr>
        <w:trPr>
          <w:tblHeader/>
        </w:trPr>
        <w:tc>
          <w:tcPr>
            <w:tcW w:type="dxa" w:w="5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w:t>
            </w:r>
          </w:p>
        </w:tc>
        <w:tc>
          <w:tcPr>
            <w:tcW w:type="dxa" w:w="44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Qué pasa</w:t>
            </w:r>
          </w:p>
        </w:tc>
        <w:tc>
          <w:tcPr>
            <w:tcW w:type="dxa" w:w="44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Cómo se arregla</w:t>
            </w:r>
          </w:p>
        </w:tc>
      </w:tr>
      <w:tr>
        <w:tc>
          <w:tcPr>
            <w:tcW w:type="dxa" w:w="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w:t>
            </w:r>
          </w:p>
        </w:tc>
        <w:tc>
          <w:tcPr>
            <w:tcW w:type="dxa" w:w="4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Las funciones y procedimientos abren con AS 10 y cierran con 10, así que ninguno compila</w:t>
            </w:r>
          </w:p>
        </w:tc>
        <w:tc>
          <w:tcPr>
            <w:tcW w:type="dxa" w:w="44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Va AS $$ al abrir y $$ al cerrar. Lo más probable es que se haya perdido al copiar desde una terminal</w:t>
            </w:r>
          </w:p>
        </w:tc>
      </w:tr>
      <w:tr>
        <w:tc>
          <w:tcPr>
            <w:tcW w:type="dxa" w:w="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w:t>
            </w:r>
          </w:p>
        </w:tc>
        <w:tc>
          <w:tcPr>
            <w:tcW w:type="dxa" w:w="4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UNIQUE de idempotencia está sobre (canal_id, idempotency_key) pero la tabla está particionada por fecha, y PostgreSQL lo rechaza</w:t>
            </w:r>
          </w:p>
        </w:tc>
        <w:tc>
          <w:tcPr>
            <w:tcW w:type="dxa" w:w="44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Agregar fecha_transaccion a la restricción, o crear una tabla aparte core.idempotencia con la clave como PK. La segunda es más limpia y más fácil de explicar</w:t>
            </w:r>
          </w:p>
        </w:tc>
      </w:tr>
      <w:tr>
        <w:tc>
          <w:tcPr>
            <w:tcW w:type="dxa" w:w="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w:t>
            </w:r>
          </w:p>
        </w:tc>
        <w:tc>
          <w:tcPr>
            <w:tcW w:type="dxa" w:w="4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No hay INSERT de catálogos: canales, sucursales, productos, monedas y tipos de transacción están vacíos</w:t>
            </w:r>
          </w:p>
        </w:tc>
        <w:tc>
          <w:tcPr>
            <w:tcW w:type="dxa" w:w="44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Una migración con los datos semilla: 7 canales, 10 sucursales (una DIGITAL), los productos y las dos monedas</w:t>
            </w:r>
          </w:p>
        </w:tc>
      </w:tr>
      <w:tr>
        <w:tc>
          <w:tcPr>
            <w:tcW w:type="dxa" w:w="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4</w:t>
            </w:r>
          </w:p>
        </w:tc>
        <w:tc>
          <w:tcPr>
            <w:tcW w:type="dxa" w:w="4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55 números de cuenta repetidos, y la columna es UNIQUE</w:t>
            </w:r>
          </w:p>
        </w:tc>
        <w:tc>
          <w:tcPr>
            <w:tcW w:type="dxa" w:w="44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Generar el número desde el correlativo de la cuenta en vez de un número al azar</w:t>
            </w:r>
          </w:p>
        </w:tc>
      </w:tr>
    </w:tbl>
    <w:p>
      <w:pPr>
        <w:pStyle w:val="Heading3"/>
        <w:spacing w:after="80" w:before="200"/>
      </w:pPr>
      <w:r>
        <w:rPr>
          <w:rFonts w:ascii="Calibri" w:cs="Calibri" w:eastAsia="Calibri" w:hAnsi="Calibri"/>
          <w:b/>
          <w:bCs/>
          <w:color w:val="333333"/>
          <w:sz w:val="22"/>
          <w:szCs w:val="22"/>
        </w:rPr>
        <w:t xml:space="preserve">La tabla de idempotencia separada</w:t>
      </w:r>
    </w:p>
    <w:p>
      <w:pPr>
        <w:pBdr>
          <w:top w:val="single" w:color="F4F4F4" w:sz="2" w:space="6"/>
          <w:bottom w:val="single" w:color="F4F4F4" w:sz="2" w:space="6"/>
          <w:left w:val="single" w:color="F4F4F4" w:sz="2" w:space="6"/>
          <w:right w:val="single" w:color="F4F4F4" w:sz="2" w:space="6"/>
        </w:pBdr>
        <w:shd w:fill="F4F4F4" w:val="clear"/>
        <w:spacing w:after="120" w:before="80" w:line="240"/>
        <w:ind w:left="200" w:right="200"/>
      </w:pPr>
      <w:r>
        <w:rPr>
          <w:rFonts w:ascii="Consolas" w:cs="Consolas" w:eastAsia="Consolas" w:hAnsi="Consolas"/>
          <w:color w:val="1A1A1A"/>
          <w:sz w:val="17"/>
          <w:szCs w:val="17"/>
        </w:rPr>
        <w:t xml:space="preserve">CREATE TABLE core.idempotencia (</w:t>
      </w:r>
      <w:r>
        <w:br/>
      </w:r>
      <w:r>
        <w:rPr>
          <w:rFonts w:ascii="Consolas" w:cs="Consolas" w:eastAsia="Consolas" w:hAnsi="Consolas"/>
          <w:color w:val="1A1A1A"/>
          <w:sz w:val="17"/>
          <w:szCs w:val="17"/>
        </w:rPr>
        <w:t xml:space="preserve">    canal_id          INT NOT NULL REFERENCES reference.canales(canal_id),</w:t>
      </w:r>
      <w:r>
        <w:br/>
      </w:r>
      <w:r>
        <w:rPr>
          <w:rFonts w:ascii="Consolas" w:cs="Consolas" w:eastAsia="Consolas" w:hAnsi="Consolas"/>
          <w:color w:val="1A1A1A"/>
          <w:sz w:val="17"/>
          <w:szCs w:val="17"/>
        </w:rPr>
        <w:t xml:space="preserve">    idempotency_key   VARCHAR(64) NOT NULL,</w:t>
      </w:r>
      <w:r>
        <w:br/>
      </w:r>
      <w:r>
        <w:rPr>
          <w:rFonts w:ascii="Consolas" w:cs="Consolas" w:eastAsia="Consolas" w:hAnsi="Consolas"/>
          <w:color w:val="1A1A1A"/>
          <w:sz w:val="17"/>
          <w:szCs w:val="17"/>
        </w:rPr>
        <w:t xml:space="preserve">    transaccion_id    BIGINT NOT NULL,</w:t>
      </w:r>
      <w:r>
        <w:br/>
      </w:r>
      <w:r>
        <w:rPr>
          <w:rFonts w:ascii="Consolas" w:cs="Consolas" w:eastAsia="Consolas" w:hAnsi="Consolas"/>
          <w:color w:val="1A1A1A"/>
          <w:sz w:val="17"/>
          <w:szCs w:val="17"/>
        </w:rPr>
        <w:t xml:space="preserve">    fecha_transaccion TIMESTAMPTZ NOT NULL,</w:t>
      </w:r>
      <w:r>
        <w:br/>
      </w:r>
      <w:r>
        <w:rPr>
          <w:rFonts w:ascii="Consolas" w:cs="Consolas" w:eastAsia="Consolas" w:hAnsi="Consolas"/>
          <w:color w:val="1A1A1A"/>
          <w:sz w:val="17"/>
          <w:szCs w:val="17"/>
        </w:rPr>
        <w:t xml:space="preserve">    PRIMARY KEY (canal_id, idempotency_key)</w:t>
      </w:r>
      <w:r>
        <w:br/>
      </w:r>
      <w:r>
        <w:rPr>
          <w:rFonts w:ascii="Consolas" w:cs="Consolas" w:eastAsia="Consolas" w:hAnsi="Consolas"/>
          <w:color w:val="1A1A1A"/>
          <w:sz w:val="17"/>
          <w:szCs w:val="17"/>
        </w:rPr>
        <w:t xml:space="preserve">);</w:t>
      </w:r>
    </w:p>
    <w:p>
      <w:pPr>
        <w:spacing w:after="120" w:before="0" w:line="276"/>
      </w:pPr>
      <w:r>
        <w:rPr>
          <w:rFonts w:ascii="Calibri" w:cs="Calibri" w:eastAsia="Calibri" w:hAnsi="Calibri"/>
          <w:color w:val="1A1A1A"/>
          <w:sz w:val="21"/>
          <w:szCs w:val="21"/>
        </w:rPr>
        <w:t xml:space="preserve">El procedimiento de transferencia inserta primero acá. Si la clave ya existe, la inserción falla y se devuelve la transacción original en vez de crear una nueva. Eso es idempotencia real y se demuestra en diez segundos.</w:t>
      </w:r>
    </w:p>
    <w:p>
      <w:pPr>
        <w:pStyle w:val="Heading2"/>
        <w:spacing w:after="100" w:before="280"/>
      </w:pPr>
      <w:r>
        <w:rPr>
          <w:rFonts w:ascii="Calibri" w:cs="Calibri" w:eastAsia="Calibri" w:hAnsi="Calibri"/>
          <w:b/>
          <w:bCs/>
          <w:color w:val="1F4E79"/>
          <w:sz w:val="24"/>
          <w:szCs w:val="24"/>
        </w:rPr>
        <w:t xml:space="preserve">7.3 Cuánta data generar</w:t>
      </w:r>
    </w:p>
    <w:p>
      <w:pPr>
        <w:keepNext w:val="false"/>
        <w:spacing w:after="60"/>
      </w:pPr>
    </w:p>
    <w:tbl>
      <w:tblPr>
        <w:tblW w:type="dxa" w:w="9360"/>
        <w:tblBorders>
          <w:top w:val="none" w:color="FFFFFF" w:sz="0"/>
          <w:left w:val="single" w:color="D98A8D" w:sz="18"/>
          <w:bottom w:val="none" w:color="FFFFFF" w:sz="0"/>
          <w:right w:val="none" w:color="FFFFFF" w:sz="0"/>
          <w:insideH w:val="none" w:color="FFFFFF" w:sz="0"/>
          <w:insideV w:val="none" w:color="FFFFFF" w:sz="0"/>
        </w:tblBorders>
      </w:tblPr>
      <w:tblGrid>
        <w:gridCol w:w="9360"/>
      </w:tblGrid>
      <w:tr>
        <w:tc>
          <w:tcPr>
            <w:tcW w:type="dxa" w:w="9360"/>
            <w:shd w:fill="FBE9E9" w:val="clear"/>
            <w:tcMar>
              <w:top w:type="dxa" w:w="140"/>
              <w:left w:type="dxa" w:w="200"/>
              <w:bottom w:type="dxa" w:w="140"/>
              <w:right w:type="dxa" w:w="200"/>
            </w:tcMar>
          </w:tcPr>
          <w:p>
            <w:pPr>
              <w:spacing w:after="0" w:before="0" w:line="276"/>
            </w:pPr>
            <w:r>
              <w:rPr>
                <w:rFonts w:ascii="Calibri" w:cs="Calibri" w:eastAsia="Calibri" w:hAnsi="Calibri"/>
                <w:b/>
                <w:bCs/>
                <w:color w:val="A1262B"/>
                <w:sz w:val="21"/>
                <w:szCs w:val="21"/>
              </w:rPr>
              <w:t xml:space="preserve">Un millón por tabla ya es más de lo que necesitamos, y dieciséis millones nos hundirían. </w:t>
            </w:r>
            <w:r>
              <w:rPr>
                <w:rFonts w:ascii="Calibri" w:cs="Calibri" w:eastAsia="Calibri" w:hAnsi="Calibri"/>
                <w:color w:val="1A1A1A"/>
                <w:sz w:val="21"/>
                <w:szCs w:val="21"/>
              </w:rPr>
              <w:t xml:space="preserve">El archivo que pasaste tiene tres millones de filas y ocupa 499 MB en CSV más 629 MB en archivos .sql; comprimido llegó a 376 MB. Por dieciséis serían unos 8 GB en CSV y 10 GB en SQL. La base gratuita de RDS tiene 20 GB de disco en total, Power BI en modo Import no lo abre con comodidad, y la generación y carga se irían en horas que no tenemos. Y nadie en el jurado va a contar las filas.</w:t>
            </w:r>
          </w:p>
        </w:tc>
      </w:tr>
    </w:tbl>
    <w:p>
      <w:pPr>
        <w:keepNext w:val="false"/>
        <w:spacing w:after="160"/>
      </w:pP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2300"/>
        <w:gridCol w:w="1500"/>
        <w:gridCol w:w="5560"/>
      </w:tblGrid>
      <w:tr>
        <w:trPr>
          <w:tblHeader/>
        </w:trPr>
        <w:tc>
          <w:tcPr>
            <w:tcW w:type="dxa" w:w="23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Tabla</w:t>
            </w:r>
          </w:p>
        </w:tc>
        <w:tc>
          <w:tcPr>
            <w:tcW w:type="dxa" w:w="15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Volumen</w:t>
            </w:r>
          </w:p>
        </w:tc>
        <w:tc>
          <w:tcPr>
            <w:tcW w:type="dxa" w:w="55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Por qué ese número</w:t>
            </w:r>
          </w:p>
        </w:tc>
      </w:tr>
      <w:tr>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clientes</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8 000</w:t>
            </w:r>
          </w:p>
        </w:tc>
        <w:tc>
          <w:tcPr>
            <w:tcW w:type="dxa" w:w="55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Alcanza para que las gráficas por departamento y segmento tengan forma real</w:t>
            </w:r>
          </w:p>
        </w:tc>
      </w:tr>
      <w:tr>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cuentas</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12 000</w:t>
            </w:r>
          </w:p>
        </w:tc>
        <w:tc>
          <w:tcPr>
            <w:tcW w:type="dxa" w:w="55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Entre una y tres por cliente, y ningún cliente sin cuenta</w:t>
            </w:r>
          </w:p>
        </w:tc>
      </w:tr>
      <w:tr>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tarjetas</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8 000</w:t>
            </w:r>
          </w:p>
        </w:tc>
        <w:tc>
          <w:tcPr>
            <w:tcW w:type="dxa" w:w="55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Mitad débito ligadas a cuenta, mitad crédito con línea, corte y saldo usado</w:t>
            </w:r>
          </w:p>
        </w:tc>
      </w:tr>
      <w:tr>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solicitudes_credito</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3 000</w:t>
            </w:r>
          </w:p>
        </w:tc>
        <w:tc>
          <w:tcPr>
            <w:tcW w:type="dxa" w:w="55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Incluye las rechazadas: sin ellas no hay tasa de aprobación</w:t>
            </w:r>
          </w:p>
        </w:tc>
      </w:tr>
      <w:tr>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creditos</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2 000</w:t>
            </w:r>
          </w:p>
        </w:tc>
        <w:tc>
          <w:tcPr>
            <w:tcW w:type="dxa" w:w="55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Cartera suficiente para morosidad por región</w:t>
            </w:r>
          </w:p>
        </w:tc>
      </w:tr>
      <w:tr>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cuotas</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40 000</w:t>
            </w:r>
          </w:p>
        </w:tc>
        <w:tc>
          <w:tcPr>
            <w:tcW w:type="dxa" w:w="55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cronograma completo de cada crédito, entre 12 y 36 cuotas</w:t>
            </w:r>
          </w:p>
        </w:tc>
      </w:tr>
      <w:tr>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pagos_credito</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30 000</w:t>
            </w:r>
          </w:p>
        </w:tc>
        <w:tc>
          <w:tcPr>
            <w:tcW w:type="dxa" w:w="55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Con pagos parciales y algunos atrasados</w:t>
            </w:r>
          </w:p>
        </w:tc>
      </w:tr>
      <w:tr>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transacciones</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200 000</w:t>
            </w:r>
          </w:p>
        </w:tc>
        <w:tc>
          <w:tcPr>
            <w:tcW w:type="dxa" w:w="55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Doce meses de movimientos</w:t>
            </w:r>
          </w:p>
        </w:tc>
      </w:tr>
      <w:tr>
        <w:tc>
          <w:tcPr>
            <w:tcW w:type="dxa" w:w="2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movimientos_contables</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400 000</w:t>
            </w:r>
          </w:p>
        </w:tc>
        <w:tc>
          <w:tcPr>
            <w:tcW w:type="dxa" w:w="55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Dos por transacción monetaria</w:t>
            </w:r>
          </w:p>
        </w:tc>
      </w:tr>
      <w:tr>
        <w:tc>
          <w:tcPr>
            <w:tcW w:type="dxa" w:w="2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gestiones_cobranza</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5 000</w:t>
            </w:r>
          </w:p>
        </w:tc>
        <w:tc>
          <w:tcPr>
            <w:tcW w:type="dxa" w:w="55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Las notas en texto libre que clasifica la IA</w:t>
            </w:r>
          </w:p>
        </w:tc>
      </w:tr>
    </w:tbl>
    <w:p>
      <w:pPr>
        <w:keepNext w:val="false"/>
        <w:spacing w:after="100"/>
      </w:pPr>
    </w:p>
    <w:p>
      <w:pPr>
        <w:spacing w:after="120" w:before="0" w:line="276"/>
      </w:pPr>
      <w:r>
        <w:rPr>
          <w:rFonts w:ascii="Calibri" w:cs="Calibri" w:eastAsia="Calibri" w:hAnsi="Calibri"/>
          <w:b/>
          <w:bCs/>
          <w:color w:val="1A1A1A"/>
          <w:sz w:val="21"/>
          <w:szCs w:val="21"/>
        </w:rPr>
        <w:t xml:space="preserve">El millón no se tira. </w:t>
      </w:r>
      <w:r>
        <w:rPr>
          <w:rFonts w:ascii="Calibri" w:cs="Calibri" w:eastAsia="Calibri" w:hAnsi="Calibri"/>
          <w:color w:val="1A1A1A"/>
          <w:sz w:val="21"/>
          <w:szCs w:val="21"/>
        </w:rPr>
        <w:t xml:space="preserve">Queda como lote de estrés: el martes Victor lo pasa una vez por el pipeline para mostrar que aguanta volumen, y eso se cuenta como prueba de carga.</w:t>
      </w:r>
    </w:p>
    <w:p>
      <w:pPr>
        <w:pStyle w:val="Heading2"/>
        <w:spacing w:after="100" w:before="280"/>
      </w:pPr>
      <w:r>
        <w:rPr>
          <w:rFonts w:ascii="Calibri" w:cs="Calibri" w:eastAsia="Calibri" w:hAnsi="Calibri"/>
          <w:b/>
          <w:bCs/>
          <w:color w:val="1F4E79"/>
          <w:sz w:val="24"/>
          <w:szCs w:val="24"/>
        </w:rPr>
        <w:t xml:space="preserve">7.4 Lo que falta y hay que agregar</w:t>
      </w:r>
    </w:p>
    <w:p>
      <w:pPr>
        <w:pStyle w:val="ListParagraph"/>
        <w:numPr>
          <w:ilvl w:val="0"/>
          <w:numId w:val="4"/>
        </w:numPr>
        <w:spacing w:after="70" w:line="276"/>
      </w:pPr>
      <w:r>
        <w:rPr>
          <w:rFonts w:ascii="Calibri" w:cs="Calibri" w:eastAsia="Calibri" w:hAnsi="Calibri"/>
          <w:b/>
          <w:bCs/>
          <w:color w:val="1A1A1A"/>
          <w:sz w:val="21"/>
          <w:szCs w:val="21"/>
        </w:rPr>
        <w:t xml:space="preserve">Tarjetas. </w:t>
      </w:r>
      <w:r>
        <w:rPr>
          <w:rFonts w:ascii="Calibri" w:cs="Calibri" w:eastAsia="Calibri" w:hAnsi="Calibri"/>
          <w:color w:val="1A1A1A"/>
          <w:sz w:val="21"/>
          <w:szCs w:val="21"/>
        </w:rPr>
        <w:t xml:space="preserve">No hay ninguna fila. Las de débito ligadas a una cuenta; las de crédito con límite, saldo utilizado, fecha de corte y fecha de pago.</w:t>
      </w:r>
    </w:p>
    <w:p>
      <w:pPr>
        <w:pStyle w:val="ListParagraph"/>
        <w:numPr>
          <w:ilvl w:val="0"/>
          <w:numId w:val="4"/>
        </w:numPr>
        <w:spacing w:after="70" w:line="276"/>
      </w:pPr>
      <w:r>
        <w:rPr>
          <w:rFonts w:ascii="Calibri" w:cs="Calibri" w:eastAsia="Calibri" w:hAnsi="Calibri"/>
          <w:b/>
          <w:bCs/>
          <w:color w:val="1A1A1A"/>
          <w:sz w:val="21"/>
          <w:szCs w:val="21"/>
        </w:rPr>
        <w:t xml:space="preserve">Créditos completos. </w:t>
      </w:r>
      <w:r>
        <w:rPr>
          <w:rFonts w:ascii="Calibri" w:cs="Calibri" w:eastAsia="Calibri" w:hAnsi="Calibri"/>
          <w:color w:val="1A1A1A"/>
          <w:sz w:val="21"/>
          <w:szCs w:val="21"/>
        </w:rPr>
        <w:t xml:space="preserve">Solicitud, evaluación con score, desembolso, cronograma de cuotas y pagos. Sin esto no existe la morosidad.</w:t>
      </w:r>
    </w:p>
    <w:p>
      <w:pPr>
        <w:pStyle w:val="ListParagraph"/>
        <w:numPr>
          <w:ilvl w:val="0"/>
          <w:numId w:val="4"/>
        </w:numPr>
        <w:spacing w:after="70" w:line="276"/>
      </w:pPr>
      <w:r>
        <w:rPr>
          <w:rFonts w:ascii="Calibri" w:cs="Calibri" w:eastAsia="Calibri" w:hAnsi="Calibri"/>
          <w:b/>
          <w:bCs/>
          <w:color w:val="1A1A1A"/>
          <w:sz w:val="21"/>
          <w:szCs w:val="21"/>
        </w:rPr>
        <w:t xml:space="preserve">Comisiones e intereses. </w:t>
      </w:r>
      <w:r>
        <w:rPr>
          <w:rFonts w:ascii="Calibri" w:cs="Calibri" w:eastAsia="Calibri" w:hAnsi="Calibri"/>
          <w:color w:val="1A1A1A"/>
          <w:sz w:val="21"/>
          <w:szCs w:val="21"/>
        </w:rPr>
        <w:t xml:space="preserve">Comisión en transacciones e interés en cada cuota: son los ingresos con los que se calcula la rentabilidad.</w:t>
      </w:r>
    </w:p>
    <w:p>
      <w:pPr>
        <w:pStyle w:val="ListParagraph"/>
        <w:numPr>
          <w:ilvl w:val="0"/>
          <w:numId w:val="4"/>
        </w:numPr>
        <w:spacing w:after="70" w:line="276"/>
      </w:pPr>
      <w:r>
        <w:rPr>
          <w:rFonts w:ascii="Calibri" w:cs="Calibri" w:eastAsia="Calibri" w:hAnsi="Calibri"/>
          <w:b/>
          <w:bCs/>
          <w:color w:val="1A1A1A"/>
          <w:sz w:val="21"/>
          <w:szCs w:val="21"/>
        </w:rPr>
        <w:t xml:space="preserve">Segmento del cliente. </w:t>
      </w:r>
      <w:r>
        <w:rPr>
          <w:rFonts w:ascii="Calibri" w:cs="Calibri" w:eastAsia="Calibri" w:hAnsi="Calibri"/>
          <w:color w:val="1A1A1A"/>
          <w:sz w:val="21"/>
          <w:szCs w:val="21"/>
        </w:rPr>
        <w:t xml:space="preserve">Masivo, preferente o patrimonial, derivado del saldo promedio.</w:t>
      </w:r>
    </w:p>
    <w:p>
      <w:pPr>
        <w:pStyle w:val="ListParagraph"/>
        <w:numPr>
          <w:ilvl w:val="0"/>
          <w:numId w:val="4"/>
        </w:numPr>
        <w:spacing w:after="70" w:line="276"/>
      </w:pPr>
      <w:r>
        <w:rPr>
          <w:rFonts w:ascii="Calibri" w:cs="Calibri" w:eastAsia="Calibri" w:hAnsi="Calibri"/>
          <w:b/>
          <w:bCs/>
          <w:color w:val="1A1A1A"/>
          <w:sz w:val="21"/>
          <w:szCs w:val="21"/>
        </w:rPr>
        <w:t xml:space="preserve">Doce meses de historia. </w:t>
      </w:r>
      <w:r>
        <w:rPr>
          <w:rFonts w:ascii="Calibri" w:cs="Calibri" w:eastAsia="Calibri" w:hAnsi="Calibri"/>
          <w:color w:val="1A1A1A"/>
          <w:sz w:val="21"/>
          <w:szCs w:val="21"/>
        </w:rPr>
        <w:t xml:space="preserve">De octubre de 2025 a septiembre de 2026, sin fechas futuras. Hoy hay 50 días y el 48 % está en el futuro.</w:t>
      </w:r>
    </w:p>
    <w:p>
      <w:pPr>
        <w:pStyle w:val="ListParagraph"/>
        <w:numPr>
          <w:ilvl w:val="0"/>
          <w:numId w:val="4"/>
        </w:numPr>
        <w:spacing w:after="70" w:line="276"/>
      </w:pPr>
      <w:r>
        <w:rPr>
          <w:rFonts w:ascii="Calibri" w:cs="Calibri" w:eastAsia="Calibri" w:hAnsi="Calibri"/>
          <w:b/>
          <w:bCs/>
          <w:color w:val="1A1A1A"/>
          <w:sz w:val="21"/>
          <w:szCs w:val="21"/>
        </w:rPr>
        <w:t xml:space="preserve">Historia de pagos mes a mes. </w:t>
      </w:r>
      <w:r>
        <w:rPr>
          <w:rFonts w:ascii="Calibri" w:cs="Calibri" w:eastAsia="Calibri" w:hAnsi="Calibri"/>
          <w:color w:val="1A1A1A"/>
          <w:sz w:val="21"/>
          <w:szCs w:val="21"/>
        </w:rPr>
        <w:t xml:space="preserve">No solo el estado final: sin eso no se puede ver un crédito rodando de un bucket al siguiente, y el roll-rate es la métrica central del caso de uso.</w:t>
      </w:r>
    </w:p>
    <w:p>
      <w:pPr>
        <w:pStyle w:val="ListParagraph"/>
        <w:numPr>
          <w:ilvl w:val="0"/>
          <w:numId w:val="4"/>
        </w:numPr>
        <w:spacing w:after="70" w:line="276"/>
      </w:pPr>
      <w:r>
        <w:rPr>
          <w:rFonts w:ascii="Calibri" w:cs="Calibri" w:eastAsia="Calibri" w:hAnsi="Calibri"/>
          <w:b/>
          <w:bCs/>
          <w:color w:val="1A1A1A"/>
          <w:sz w:val="21"/>
          <w:szCs w:val="21"/>
        </w:rPr>
        <w:t xml:space="preserve">Días de atraso con los cortes de la SBS: </w:t>
      </w:r>
      <w:r>
        <w:rPr>
          <w:rFonts w:ascii="Calibri" w:cs="Calibri" w:eastAsia="Calibri" w:hAnsi="Calibri"/>
          <w:color w:val="1A1A1A"/>
          <w:sz w:val="21"/>
          <w:szCs w:val="21"/>
        </w:rPr>
        <w:t xml:space="preserve">8, 30, 60 y 120. Así los buckets coinciden con las categorías reales y la tabla de provisiones aplica sin traducción.</w:t>
      </w:r>
    </w:p>
    <w:p>
      <w:pPr>
        <w:pStyle w:val="ListParagraph"/>
        <w:numPr>
          <w:ilvl w:val="0"/>
          <w:numId w:val="4"/>
        </w:numPr>
        <w:spacing w:after="70" w:line="276"/>
      </w:pPr>
      <w:r>
        <w:rPr>
          <w:rFonts w:ascii="Calibri" w:cs="Calibri" w:eastAsia="Calibri" w:hAnsi="Calibri"/>
          <w:b/>
          <w:bCs/>
          <w:color w:val="1A1A1A"/>
          <w:sz w:val="21"/>
          <w:szCs w:val="21"/>
        </w:rPr>
        <w:t xml:space="preserve">Las notas de gestión. </w:t>
      </w:r>
      <w:r>
        <w:rPr>
          <w:rFonts w:ascii="Calibri" w:cs="Calibri" w:eastAsia="Calibri" w:hAnsi="Calibri"/>
          <w:color w:val="1A1A1A"/>
          <w:sz w:val="21"/>
          <w:szCs w:val="21"/>
        </w:rPr>
        <w:t xml:space="preserve">Unas 5 000 en texto libre, con variedad realista y algunas ambiguas a propósito. Atajo legítimo: pedirle a un modelo que genere 50 plantillas y muestrear con variaciones, igual que hicimos con las quejas del laboratorio.</w:t>
      </w:r>
    </w:p>
    <w:p>
      <w:pPr>
        <w:pStyle w:val="Heading2"/>
        <w:spacing w:after="100" w:before="280"/>
      </w:pPr>
      <w:r>
        <w:rPr>
          <w:rFonts w:ascii="Calibri" w:cs="Calibri" w:eastAsia="Calibri" w:hAnsi="Calibri"/>
          <w:b/>
          <w:bCs/>
          <w:color w:val="1F4E79"/>
          <w:sz w:val="24"/>
          <w:szCs w:val="24"/>
        </w:rPr>
        <w:t xml:space="preserve">7.5 Las reglas de coherencia del generador</w:t>
      </w:r>
    </w:p>
    <w:p>
      <w:pPr>
        <w:spacing w:after="120" w:before="0" w:line="276"/>
      </w:pPr>
      <w:r>
        <w:rPr>
          <w:rFonts w:ascii="Calibri" w:cs="Calibri" w:eastAsia="Calibri" w:hAnsi="Calibri"/>
          <w:color w:val="1A1A1A"/>
          <w:sz w:val="21"/>
          <w:szCs w:val="21"/>
        </w:rPr>
        <w:t xml:space="preserve">Que no sea simplemente random(). Estas reglas son la diferencia entre una data que se defiende sola y una que se cae en la primera pregunta.</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2600"/>
        <w:gridCol w:w="6760"/>
      </w:tblGrid>
      <w:tr>
        <w:trPr>
          <w:tblHeader/>
        </w:trPr>
        <w:tc>
          <w:tcPr>
            <w:tcW w:type="dxa" w:w="26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Regla</w:t>
            </w:r>
          </w:p>
        </w:tc>
        <w:tc>
          <w:tcPr>
            <w:tcW w:type="dxa" w:w="67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Cómo implementarla</w:t>
            </w:r>
          </w:p>
        </w:tc>
      </w:tr>
      <w:tr>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Ningún cliente sin cuenta</w:t>
            </w:r>
          </w:p>
        </w:tc>
        <w:tc>
          <w:tcPr>
            <w:tcW w:type="dxa" w:w="6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Recorrer los clientes y darle a cada uno entre una y tres cuentas. Hoy el 36,8 % no tiene ninguna</w:t>
            </w:r>
          </w:p>
        </w:tc>
      </w:tr>
      <w:tr>
        <w:tc>
          <w:tcPr>
            <w:tcW w:type="dxa" w:w="2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moneda concuerda</w:t>
            </w:r>
          </w:p>
        </w:tc>
        <w:tc>
          <w:tcPr>
            <w:tcW w:type="dxa" w:w="6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transacción toma la moneda de su cuenta de origen. Hoy el 29 % no concuerda</w:t>
            </w:r>
          </w:p>
        </w:tc>
      </w:tr>
      <w:tr>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Las fechas no son futuras</w:t>
            </w:r>
          </w:p>
        </w:tc>
        <w:tc>
          <w:tcPr>
            <w:tcW w:type="dxa" w:w="6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Nada después de la fecha de la exposición</w:t>
            </w:r>
          </w:p>
        </w:tc>
      </w:tr>
      <w:tr>
        <w:tc>
          <w:tcPr>
            <w:tcW w:type="dxa" w:w="2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geografía existe</w:t>
            </w:r>
          </w:p>
        </w:tc>
        <w:tc>
          <w:tcPr>
            <w:tcW w:type="dxa" w:w="6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Una lista fija de combinaciones válidas de departamento, provincia y distrito, y se sortea la combinación completa. Hoy hay clientes en Ancash, provincia de Piura, distrito Víctor Larco</w:t>
            </w:r>
          </w:p>
        </w:tc>
      </w:tr>
      <w:tr>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saldo sale del ledger</w:t>
            </w:r>
          </w:p>
        </w:tc>
        <w:tc>
          <w:tcPr>
            <w:tcW w:type="dxa" w:w="6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Generar los movimientos primero y calcular el saldo como la suma de créditos menos débitos. Así la cuadratura da exacta</w:t>
            </w:r>
          </w:p>
        </w:tc>
      </w:tr>
      <w:tr>
        <w:tc>
          <w:tcPr>
            <w:tcW w:type="dxa" w:w="2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Depósitos y retiros sin destino</w:t>
            </w:r>
          </w:p>
        </w:tc>
        <w:tc>
          <w:tcPr>
            <w:tcW w:type="dxa" w:w="6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Solo las transferencias tienen cuenta destino. Hoy hay 333 839 que no cumplen</w:t>
            </w:r>
          </w:p>
        </w:tc>
      </w:tr>
      <w:tr>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Los canales digitales no tienen sucursal física</w:t>
            </w:r>
          </w:p>
        </w:tc>
        <w:tc>
          <w:tcPr>
            <w:tcW w:type="dxa" w:w="6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App, Web, Plin y QR apuntan a la sucursal DIGITAL</w:t>
            </w:r>
          </w:p>
        </w:tc>
      </w:tr>
      <w:tr>
        <w:tc>
          <w:tcPr>
            <w:tcW w:type="dxa" w:w="2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riesgo tiene forma de campana</w:t>
            </w:r>
          </w:p>
        </w:tc>
        <w:tc>
          <w:tcPr>
            <w:tcW w:type="dxa" w:w="6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Score con distribución normal alrededor de 650. Hoy el 60 % es riesgo alto o crítico, lo que ningún banco tendría</w:t>
            </w:r>
          </w:p>
        </w:tc>
      </w:tr>
      <w:tr>
        <w:tc>
          <w:tcPr>
            <w:tcW w:type="dxa" w:w="2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mora es minoría</w:t>
            </w:r>
          </w:p>
        </w:tc>
        <w:tc>
          <w:tcPr>
            <w:tcW w:type="dxa" w:w="6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Entre el 8 % y el 12 % de los créditos en mora, repartidos entre buckets</w:t>
            </w:r>
          </w:p>
        </w:tc>
      </w:tr>
      <w:tr>
        <w:tc>
          <w:tcPr>
            <w:tcW w:type="dxa" w:w="2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deterioro se ve antes en las transacciones</w:t>
            </w:r>
          </w:p>
        </w:tc>
        <w:tc>
          <w:tcPr>
            <w:tcW w:type="dxa" w:w="6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Los clientes que caen en mora deben mostrar una caída de ingresos en los meses previos. Es lo que hace que la señal del puntaje exista y lo que va a encontrar el visual de influenciadores de Power BI</w:t>
            </w:r>
          </w:p>
        </w:tc>
      </w:tr>
    </w:tbl>
    <w:p>
      <w:pPr>
        <w:pStyle w:val="Heading2"/>
        <w:spacing w:after="100" w:before="280"/>
      </w:pPr>
      <w:r>
        <w:rPr>
          <w:rFonts w:ascii="Calibri" w:cs="Calibri" w:eastAsia="Calibri" w:hAnsi="Calibri"/>
          <w:b/>
          <w:bCs/>
          <w:color w:val="1F4E79"/>
          <w:sz w:val="24"/>
          <w:szCs w:val="24"/>
        </w:rPr>
        <w:t xml:space="preserve">7.6 Las dos salidas y el catálogo de errores</w:t>
      </w:r>
    </w:p>
    <w:p>
      <w:pPr>
        <w:spacing w:after="120" w:before="0" w:line="276"/>
      </w:pPr>
      <w:r>
        <w:rPr>
          <w:rFonts w:ascii="Calibri" w:cs="Calibri" w:eastAsia="Calibri" w:hAnsi="Calibri"/>
          <w:color w:val="1A1A1A"/>
          <w:sz w:val="21"/>
          <w:szCs w:val="21"/>
        </w:rPr>
        <w:t xml:space="preserve">La versión limpia se carga en la base; la RAW se sube al lago para que las reglas de calidad la frenen delante del jurado. La RAW es la misma data con errores sembrados a propósito, alrededor del 2 % de las filas, y con un catálogo que diga exactamente qué se sembró.</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4200"/>
        <w:gridCol w:w="1400"/>
        <w:gridCol w:w="3760"/>
      </w:tblGrid>
      <w:tr>
        <w:trPr>
          <w:tblHeader/>
        </w:trPr>
        <w:tc>
          <w:tcPr>
            <w:tcW w:type="dxa" w:w="42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Error a sembrar</w:t>
            </w:r>
          </w:p>
        </w:tc>
        <w:tc>
          <w:tcPr>
            <w:tcW w:type="dxa" w:w="14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Filas</w:t>
            </w:r>
          </w:p>
        </w:tc>
        <w:tc>
          <w:tcPr>
            <w:tcW w:type="dxa" w:w="37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Regla que lo atrapa</w:t>
            </w:r>
          </w:p>
        </w:tc>
      </w:tr>
      <w:tr>
        <w:tc>
          <w:tcPr>
            <w:tcW w:type="dxa" w:w="4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Transacciones duplicadas (misma idempotency_key)</w:t>
            </w:r>
          </w:p>
        </w:tc>
        <w:tc>
          <w:tcPr>
            <w:tcW w:type="dxa" w:w="1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200</w:t>
            </w:r>
          </w:p>
        </w:tc>
        <w:tc>
          <w:tcPr>
            <w:tcW w:type="dxa" w:w="3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Unicidad de la clave</w:t>
            </w:r>
          </w:p>
        </w:tc>
      </w:tr>
      <w:tr>
        <w:tc>
          <w:tcPr>
            <w:tcW w:type="dxa" w:w="4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Monto menor o igual a cero</w:t>
            </w:r>
          </w:p>
        </w:tc>
        <w:tc>
          <w:tcPr>
            <w:tcW w:type="dxa" w:w="1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150</w:t>
            </w:r>
          </w:p>
        </w:tc>
        <w:tc>
          <w:tcPr>
            <w:tcW w:type="dxa" w:w="3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Rango de monto</w:t>
            </w:r>
          </w:p>
        </w:tc>
      </w:tr>
      <w:tr>
        <w:tc>
          <w:tcPr>
            <w:tcW w:type="dxa" w:w="4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Moneda que no existe</w:t>
            </w:r>
          </w:p>
        </w:tc>
        <w:tc>
          <w:tcPr>
            <w:tcW w:type="dxa" w:w="1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120</w:t>
            </w:r>
          </w:p>
        </w:tc>
        <w:tc>
          <w:tcPr>
            <w:tcW w:type="dxa" w:w="3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Catálogo de monedas</w:t>
            </w:r>
          </w:p>
        </w:tc>
      </w:tr>
      <w:tr>
        <w:tc>
          <w:tcPr>
            <w:tcW w:type="dxa" w:w="4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Fecha futura</w:t>
            </w:r>
          </w:p>
        </w:tc>
        <w:tc>
          <w:tcPr>
            <w:tcW w:type="dxa" w:w="1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300</w:t>
            </w:r>
          </w:p>
        </w:tc>
        <w:tc>
          <w:tcPr>
            <w:tcW w:type="dxa" w:w="3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Fecha menor o igual a hoy</w:t>
            </w:r>
          </w:p>
        </w:tc>
      </w:tr>
      <w:tr>
        <w:tc>
          <w:tcPr>
            <w:tcW w:type="dxa" w:w="4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Transacción con cuenta origen inexistente</w:t>
            </w:r>
          </w:p>
        </w:tc>
        <w:tc>
          <w:tcPr>
            <w:tcW w:type="dxa" w:w="1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180</w:t>
            </w:r>
          </w:p>
        </w:tc>
        <w:tc>
          <w:tcPr>
            <w:tcW w:type="dxa" w:w="3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Integridad referencial — la que dispara el corte</w:t>
            </w:r>
          </w:p>
        </w:tc>
      </w:tr>
      <w:tr>
        <w:tc>
          <w:tcPr>
            <w:tcW w:type="dxa" w:w="4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NULL en columnas críticas</w:t>
            </w:r>
          </w:p>
        </w:tc>
        <w:tc>
          <w:tcPr>
            <w:tcW w:type="dxa" w:w="1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200</w:t>
            </w:r>
          </w:p>
        </w:tc>
        <w:tc>
          <w:tcPr>
            <w:tcW w:type="dxa" w:w="3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Nulos no permitidos</w:t>
            </w:r>
          </w:p>
        </w:tc>
      </w:tr>
      <w:tr>
        <w:tc>
          <w:tcPr>
            <w:tcW w:type="dxa" w:w="4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Cliente con DNI repetido</w:t>
            </w:r>
          </w:p>
        </w:tc>
        <w:tc>
          <w:tcPr>
            <w:tcW w:type="dxa" w:w="1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60</w:t>
            </w:r>
          </w:p>
        </w:tc>
        <w:tc>
          <w:tcPr>
            <w:tcW w:type="dxa" w:w="3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Unicidad de documento</w:t>
            </w:r>
          </w:p>
        </w:tc>
      </w:tr>
      <w:tr>
        <w:tc>
          <w:tcPr>
            <w:tcW w:type="dxa" w:w="4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Crédito con saldo pendiente mayor al monto aprobado</w:t>
            </w:r>
          </w:p>
        </w:tc>
        <w:tc>
          <w:tcPr>
            <w:tcW w:type="dxa" w:w="1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80</w:t>
            </w:r>
          </w:p>
        </w:tc>
        <w:tc>
          <w:tcPr>
            <w:tcW w:type="dxa" w:w="3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Coherencia de saldos</w:t>
            </w:r>
          </w:p>
        </w:tc>
      </w:tr>
      <w:tr>
        <w:tc>
          <w:tcPr>
            <w:tcW w:type="dxa" w:w="4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Débito y crédito que no cuadran</w:t>
            </w:r>
          </w:p>
        </w:tc>
        <w:tc>
          <w:tcPr>
            <w:tcW w:type="dxa" w:w="1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40</w:t>
            </w:r>
          </w:p>
        </w:tc>
        <w:tc>
          <w:tcPr>
            <w:tcW w:type="dxa" w:w="3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Cuadratura contable</w:t>
            </w:r>
          </w:p>
        </w:tc>
      </w:tr>
    </w:tbl>
    <w:p>
      <w:pPr>
        <w:pStyle w:val="Heading2"/>
        <w:spacing w:after="100" w:before="280"/>
      </w:pPr>
      <w:r>
        <w:rPr>
          <w:rFonts w:ascii="Calibri" w:cs="Calibri" w:eastAsia="Calibri" w:hAnsi="Calibri"/>
          <w:b/>
          <w:bCs/>
          <w:color w:val="1F4E79"/>
          <w:sz w:val="24"/>
          <w:szCs w:val="24"/>
        </w:rPr>
        <w:t xml:space="preserve">7.7 La vista de priorización</w:t>
      </w:r>
    </w:p>
    <w:p>
      <w:pPr>
        <w:pBdr>
          <w:top w:val="single" w:color="F4F4F4" w:sz="2" w:space="6"/>
          <w:bottom w:val="single" w:color="F4F4F4" w:sz="2" w:space="6"/>
          <w:left w:val="single" w:color="F4F4F4" w:sz="2" w:space="6"/>
          <w:right w:val="single" w:color="F4F4F4" w:sz="2" w:space="6"/>
        </w:pBdr>
        <w:shd w:fill="F4F4F4" w:val="clear"/>
        <w:spacing w:after="120" w:before="80" w:line="240"/>
        <w:ind w:left="200" w:right="200"/>
      </w:pPr>
      <w:r>
        <w:rPr>
          <w:rFonts w:ascii="Consolas" w:cs="Consolas" w:eastAsia="Consolas" w:hAnsi="Consolas"/>
          <w:color w:val="1A1A1A"/>
          <w:sz w:val="17"/>
          <w:szCs w:val="17"/>
        </w:rPr>
        <w:t xml:space="preserve">CREATE VIEW analytics.vw_cartera_en_riesgo AS</w:t>
      </w:r>
      <w:r>
        <w:br/>
      </w:r>
      <w:r>
        <w:rPr>
          <w:rFonts w:ascii="Consolas" w:cs="Consolas" w:eastAsia="Consolas" w:hAnsi="Consolas"/>
          <w:color w:val="1A1A1A"/>
          <w:sz w:val="17"/>
          <w:szCs w:val="17"/>
        </w:rPr>
        <w:t xml:space="preserve">SELECT  c.credito_id, c.cliente_id,</w:t>
      </w:r>
      <w:r>
        <w:br/>
      </w:r>
      <w:r>
        <w:rPr>
          <w:rFonts w:ascii="Consolas" w:cs="Consolas" w:eastAsia="Consolas" w:hAnsi="Consolas"/>
          <w:color w:val="1A1A1A"/>
          <w:sz w:val="17"/>
          <w:szCs w:val="17"/>
        </w:rPr>
        <w:t xml:space="preserve">        c.saldo_capital_pendiente AS saldo_expuesto,</w:t>
      </w:r>
      <w:r>
        <w:br/>
      </w:r>
      <w:r>
        <w:rPr>
          <w:rFonts w:ascii="Consolas" w:cs="Consolas" w:eastAsia="Consolas" w:hAnsi="Consolas"/>
          <w:color w:val="1A1A1A"/>
          <w:sz w:val="17"/>
          <w:szCs w:val="17"/>
        </w:rPr>
        <w:t xml:space="preserve">        c.dias_mora, c.bucket_riesgo,</w:t>
      </w:r>
      <w:r>
        <w:br/>
      </w:r>
      <w:r>
        <w:rPr>
          <w:rFonts w:ascii="Consolas" w:cs="Consolas" w:eastAsia="Consolas" w:hAnsi="Consolas"/>
          <w:color w:val="1A1A1A"/>
          <w:sz w:val="17"/>
          <w:szCs w:val="17"/>
        </w:rPr>
        <w:t xml:space="preserve">        cl.departamento, p.nombre_producto,</w:t>
      </w:r>
      <w:r>
        <w:br/>
      </w:r>
      <w:r>
        <w:rPr>
          <w:rFonts w:ascii="Consolas" w:cs="Consolas" w:eastAsia="Consolas" w:hAnsi="Consolas"/>
          <w:color w:val="1A1A1A"/>
          <w:sz w:val="17"/>
          <w:szCs w:val="17"/>
        </w:rPr>
        <w:t xml:space="preserve">        r.puntaje_riesgo,</w:t>
      </w:r>
      <w:r>
        <w:br/>
      </w:r>
      <w:r>
        <w:rPr>
          <w:rFonts w:ascii="Consolas" w:cs="Consolas" w:eastAsia="Consolas" w:hAnsi="Consolas"/>
          <w:color w:val="1A1A1A"/>
          <w:sz w:val="17"/>
          <w:szCs w:val="17"/>
        </w:rPr>
        <w:t xml:space="preserve">        c.saldo_capital_pendiente * r.puntaje_riesgo AS prioridad,</w:t>
      </w:r>
      <w:r>
        <w:br/>
      </w:r>
      <w:r>
        <w:rPr>
          <w:rFonts w:ascii="Consolas" w:cs="Consolas" w:eastAsia="Consolas" w:hAnsi="Consolas"/>
          <w:color w:val="1A1A1A"/>
          <w:sz w:val="17"/>
          <w:szCs w:val="17"/>
        </w:rPr>
        <w:t xml:space="preserve">        r.motivo_principal, r.accion_recomendada</w:t>
      </w:r>
      <w:r>
        <w:br/>
      </w:r>
      <w:r>
        <w:rPr>
          <w:rFonts w:ascii="Consolas" w:cs="Consolas" w:eastAsia="Consolas" w:hAnsi="Consolas"/>
          <w:color w:val="1A1A1A"/>
          <w:sz w:val="17"/>
          <w:szCs w:val="17"/>
        </w:rPr>
        <w:t xml:space="preserve">FROM    core.creditos c</w:t>
      </w:r>
      <w:r>
        <w:br/>
      </w:r>
      <w:r>
        <w:rPr>
          <w:rFonts w:ascii="Consolas" w:cs="Consolas" w:eastAsia="Consolas" w:hAnsi="Consolas"/>
          <w:color w:val="1A1A1A"/>
          <w:sz w:val="17"/>
          <w:szCs w:val="17"/>
        </w:rPr>
        <w:t xml:space="preserve">JOIN    core.clientes cl ON cl.cliente_id = c.cliente_id</w:t>
      </w:r>
      <w:r>
        <w:br/>
      </w:r>
      <w:r>
        <w:rPr>
          <w:rFonts w:ascii="Consolas" w:cs="Consolas" w:eastAsia="Consolas" w:hAnsi="Consolas"/>
          <w:color w:val="1A1A1A"/>
          <w:sz w:val="17"/>
          <w:szCs w:val="17"/>
        </w:rPr>
        <w:t xml:space="preserve">JOIN    reference.productos p ON p.producto_id = c.producto_id</w:t>
      </w:r>
      <w:r>
        <w:br/>
      </w:r>
      <w:r>
        <w:rPr>
          <w:rFonts w:ascii="Consolas" w:cs="Consolas" w:eastAsia="Consolas" w:hAnsi="Consolas"/>
          <w:color w:val="1A1A1A"/>
          <w:sz w:val="17"/>
          <w:szCs w:val="17"/>
        </w:rPr>
        <w:t xml:space="preserve">JOIN    analytics.fn_puntaje_riesgo(c.credito_id) r ON TRUE</w:t>
      </w:r>
      <w:r>
        <w:br/>
      </w:r>
      <w:r>
        <w:rPr>
          <w:rFonts w:ascii="Consolas" w:cs="Consolas" w:eastAsia="Consolas" w:hAnsi="Consolas"/>
          <w:color w:val="1A1A1A"/>
          <w:sz w:val="17"/>
          <w:szCs w:val="17"/>
        </w:rPr>
        <w:t xml:space="preserve">WHERE   c.estado IN ('VIGENTE','EN_MORA')</w:t>
      </w:r>
      <w:r>
        <w:br/>
      </w:r>
      <w:r>
        <w:rPr>
          <w:rFonts w:ascii="Consolas" w:cs="Consolas" w:eastAsia="Consolas" w:hAnsi="Consolas"/>
          <w:color w:val="1A1A1A"/>
          <w:sz w:val="17"/>
          <w:szCs w:val="17"/>
        </w:rPr>
        <w:t xml:space="preserve">  AND   c.dias_mora BETWEEN 1 AND 60</w:t>
      </w:r>
      <w:r>
        <w:br/>
      </w:r>
      <w:r>
        <w:rPr>
          <w:rFonts w:ascii="Consolas" w:cs="Consolas" w:eastAsia="Consolas" w:hAnsi="Consolas"/>
          <w:color w:val="1A1A1A"/>
          <w:sz w:val="17"/>
          <w:szCs w:val="17"/>
        </w:rPr>
        <w:t xml:space="preserve">  AND   c.credito_id NOT IN (SELECT credito_id FROM dq.cuarentena_creditos)</w:t>
      </w:r>
      <w:r>
        <w:br/>
      </w:r>
      <w:r>
        <w:rPr>
          <w:rFonts w:ascii="Consolas" w:cs="Consolas" w:eastAsia="Consolas" w:hAnsi="Consolas"/>
          <w:color w:val="1A1A1A"/>
          <w:sz w:val="17"/>
          <w:szCs w:val="17"/>
        </w:rPr>
        <w:t xml:space="preserve">ORDER BY prioridad DESC;</w:t>
      </w:r>
    </w:p>
    <w:p>
      <w:pPr>
        <w:pStyle w:val="Heading2"/>
        <w:spacing w:after="100" w:before="280"/>
      </w:pPr>
      <w:r>
        <w:rPr>
          <w:rFonts w:ascii="Calibri" w:cs="Calibri" w:eastAsia="Calibri" w:hAnsi="Calibri"/>
          <w:b/>
          <w:bCs/>
          <w:color w:val="1F4E79"/>
          <w:sz w:val="24"/>
          <w:szCs w:val="24"/>
        </w:rPr>
        <w:t xml:space="preserve">7.8 Lo que hay que corregir de lo que ya está en GitHub</w:t>
      </w:r>
    </w:p>
    <w:p>
      <w:pPr>
        <w:spacing w:after="120" w:before="0" w:line="276"/>
      </w:pPr>
      <w:r>
        <w:rPr>
          <w:rFonts w:ascii="Calibri" w:cs="Calibri" w:eastAsia="Calibri" w:hAnsi="Calibri"/>
          <w:color w:val="1A1A1A"/>
          <w:sz w:val="21"/>
          <w:szCs w:val="21"/>
        </w:rPr>
        <w:t xml:space="preserve">Revisamos el repositorio archivo por archivo. El trabajo está muy bien: los volúmenes son los pedidos, el ledger cuadra al centavo, la mora quedó en 11,35 %, las cuatro correcciones bloqueantes están hechas, el RLS quedó completo y el manifiesto trae el conteo exacto de cada error sembrado. Quedan seis cosas. La columna del medio dice a quién le cae si no se corrige, que es lo que importa para decidir qué entra hoy y qué puede esperar.</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3900"/>
        <w:gridCol w:w="1600"/>
        <w:gridCol w:w="3860"/>
      </w:tblGrid>
      <w:tr>
        <w:trPr>
          <w:tblHeader/>
        </w:trPr>
        <w:tc>
          <w:tcPr>
            <w:tcW w:type="dxa" w:w="39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Qué</w:t>
            </w:r>
          </w:p>
        </w:tc>
        <w:tc>
          <w:tcPr>
            <w:tcW w:type="dxa" w:w="16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A quién afecta</w:t>
            </w:r>
          </w:p>
        </w:tc>
        <w:tc>
          <w:tcPr>
            <w:tcW w:type="dxa" w:w="38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Qué pasa si se deja así</w:t>
            </w:r>
          </w:p>
        </w:tc>
      </w:tr>
      <w:tr>
        <w:tc>
          <w:tcPr>
            <w:tcW w:type="dxa" w:w="3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Falta la partición de septiembre de 2026 en V005. El master v13 tiene las doce, la migración llega hasta agosto</w:t>
            </w:r>
          </w:p>
        </w:tc>
        <w:tc>
          <w:tcPr>
            <w:tcW w:type="dxa" w:w="1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 y por arrastre todos</w:t>
            </w:r>
          </w:p>
        </w:tc>
        <w:tc>
          <w:tcPr>
            <w:tcW w:type="dxa" w:w="38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Si instala migrando desde la v12, la carga revienta en la primera transacción de septiembre. Se evita instalando desde el master v13, así que puede resolverse eligiendo el camino de instalación</w:t>
            </w:r>
          </w:p>
        </w:tc>
      </w:tr>
      <w:tr>
        <w:tc>
          <w:tcPr>
            <w:tcW w:type="dxa" w:w="3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Los créditos de más de 60 días de mora entran en la lista y en la app (hay casos de 111 días)</w:t>
            </w:r>
          </w:p>
        </w:tc>
        <w:tc>
          <w:tcPr>
            <w:tcW w:type="dxa" w:w="1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 e Ivan, directo</w:t>
            </w:r>
          </w:p>
        </w:tc>
        <w:tc>
          <w:tcPr>
            <w:tcW w:type="dxa" w:w="38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app y el dashboard mostrarían poblaciones distintas y los totales no cuadran en pantalla. Además el argumento de plata es el salto de provisión entre 9–30 y 31–60 días: a los 111 días ya no aplica. Hay que filtrar de 1 a 60 en los dos lados</w:t>
            </w:r>
          </w:p>
        </w:tc>
      </w:tr>
      <w:tr>
        <w:tc>
          <w:tcPr>
            <w:tcW w:type="dxa" w:w="3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cartera mezcla consumo, hipotecario y pyme, y los montos van de S/ 3 mil a S/ 500 mil</w:t>
            </w:r>
          </w:p>
        </w:tc>
        <w:tc>
          <w:tcPr>
            <w:tcW w:type="dxa" w:w="1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 directo</w:t>
            </w:r>
          </w:p>
        </w:tc>
        <w:tc>
          <w:tcPr>
            <w:tcW w:type="dxa" w:w="38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tabla de provisiones de la lámina es la de consumo sin garantías preferidas. Hipotecario y pyme tienen otras tasas y otros plazos, y por monto pesan más que el consumo. El cálculo de valor hay que hacerlo sobre la cartera de consumo y decirlo</w:t>
            </w:r>
          </w:p>
        </w:tc>
      </w:tr>
      <w:tr>
        <w:tc>
          <w:tcPr>
            <w:tcW w:type="dxa" w:w="3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columna bucket_riesgo agrupa 61_90 y 90_MAS, pero los días se generan con los cortes de la SBS (61–120 y más de 120)</w:t>
            </w:r>
          </w:p>
        </w:tc>
        <w:tc>
          <w:tcPr>
            <w:tcW w:type="dxa" w:w="1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 directo</w:t>
            </w:r>
          </w:p>
        </w:tc>
        <w:tc>
          <w:tcPr>
            <w:tcW w:type="dxa" w:w="38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Si el eje de Morosidad se arma con bucket_riesgo, las categorías no coinciden con la tabla de la SBS de la lámina. La medida hay que derivarla de dias_mora, no de bucket_riesgo</w:t>
            </w:r>
          </w:p>
        </w:tc>
      </w:tr>
      <w:tr>
        <w:tc>
          <w:tcPr>
            <w:tcW w:type="dxa" w:w="3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pepper sigue escrito en la línea 55 del generador, y el repositorio es público</w:t>
            </w:r>
          </w:p>
        </w:tc>
        <w:tc>
          <w:tcPr>
            <w:tcW w:type="dxa" w:w="1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narrativa de apertura</w:t>
            </w:r>
          </w:p>
        </w:tc>
        <w:tc>
          <w:tcPr>
            <w:tcW w:type="dxa" w:w="38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demo de los «2 segundos» se contradice sola si alguien del jurado abre el repositorio. Se arregla renombrando la constante y dejando el comentario de que es la vulnerabilidad que se demuestra</w:t>
            </w:r>
          </w:p>
        </w:tc>
      </w:tr>
      <w:tr>
        <w:tc>
          <w:tcPr>
            <w:tcW w:type="dxa" w:w="3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En sp_transferir_dinero la validación de saldo está antes del chequeo de idempotencia</w:t>
            </w:r>
          </w:p>
        </w:tc>
        <w:tc>
          <w:tcPr>
            <w:tcW w:type="dxa" w:w="1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38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Un reintento de una operación ya hecha, con la cuenta sin saldo, devuelve error en vez de la transacción original. En la demo con saldo no se nota</w:t>
            </w:r>
          </w:p>
        </w:tc>
      </w:tr>
    </w:tbl>
    <w:p>
      <w:pPr>
        <w:keepNext w:val="false"/>
        <w:spacing w:after="100"/>
      </w:pPr>
    </w:p>
    <w:p>
      <w:pPr>
        <w:spacing w:after="120" w:before="0" w:line="276"/>
      </w:pPr>
      <w:r>
        <w:rPr>
          <w:rFonts w:ascii="Calibri" w:cs="Calibri" w:eastAsia="Calibri" w:hAnsi="Calibri"/>
          <w:b/>
          <w:bCs/>
          <w:color w:val="1A1A1A"/>
          <w:sz w:val="21"/>
          <w:szCs w:val="21"/>
        </w:rPr>
        <w:t xml:space="preserve">Aparte, no técnico pero conviene: </w:t>
      </w:r>
      <w:r>
        <w:rPr>
          <w:rFonts w:ascii="Calibri" w:cs="Calibri" w:eastAsia="Calibri" w:hAnsi="Calibri"/>
          <w:color w:val="1A1A1A"/>
          <w:sz w:val="21"/>
          <w:szCs w:val="21"/>
        </w:rPr>
        <w:t xml:space="preserve">el repositorio es público y se llama «BancoCloud Interbank Digital Andino». Un repositorio abierto con el nombre de un banco real, estructura bancaria y tablas de clientes, y el jurado es de ese banco. Ponerlo privado e invitar a los tres y al profesor cuesta un minuto y queda bien decirlo.</w:t>
      </w:r>
    </w:p>
    <w:p>
      <w:pPr>
        <w:keepNext w:val="false"/>
        <w:spacing w:after="60"/>
      </w:pPr>
    </w:p>
    <w:tbl>
      <w:tblPr>
        <w:tblW w:type="dxa" w:w="9360"/>
        <w:tblBorders>
          <w:top w:val="none" w:color="FFFFFF" w:sz="0"/>
          <w:left w:val="single" w:color="D98A8D" w:sz="18"/>
          <w:bottom w:val="none" w:color="FFFFFF" w:sz="0"/>
          <w:right w:val="none" w:color="FFFFFF" w:sz="0"/>
          <w:insideH w:val="none" w:color="FFFFFF" w:sz="0"/>
          <w:insideV w:val="none" w:color="FFFFFF" w:sz="0"/>
        </w:tblBorders>
      </w:tblPr>
      <w:tblGrid>
        <w:gridCol w:w="9360"/>
      </w:tblGrid>
      <w:tr>
        <w:tc>
          <w:tcPr>
            <w:tcW w:type="dxa" w:w="9360"/>
            <w:shd w:fill="FBE9E9" w:val="clear"/>
            <w:tcMar>
              <w:top w:type="dxa" w:w="140"/>
              <w:left w:type="dxa" w:w="200"/>
              <w:bottom w:type="dxa" w:w="140"/>
              <w:right w:type="dxa" w:w="200"/>
            </w:tcMar>
          </w:tcPr>
          <w:p>
            <w:pPr>
              <w:spacing w:after="0" w:before="0" w:line="276"/>
            </w:pPr>
            <w:r>
              <w:rPr>
                <w:rFonts w:ascii="Calibri" w:cs="Calibri" w:eastAsia="Calibri" w:hAnsi="Calibri"/>
                <w:b/>
                <w:bCs/>
                <w:color w:val="A1262B"/>
                <w:sz w:val="21"/>
                <w:szCs w:val="21"/>
              </w:rPr>
              <w:t xml:space="preserve">Las dos que no pueden esperar a mañana: </w:t>
            </w:r>
            <w:r>
              <w:rPr>
                <w:rFonts w:ascii="Calibri" w:cs="Calibri" w:eastAsia="Calibri" w:hAnsi="Calibri"/>
                <w:color w:val="1A1A1A"/>
                <w:sz w:val="21"/>
                <w:szCs w:val="21"/>
              </w:rPr>
              <w:t xml:space="preserve">la primera de la tabla, porque decide si la base carga o no; y la segunda, porque el filtro de 1 a 60 días tiene que estar acordado antes de que Jessi escriba las medidas y antes de que la app quede cerrada. Las otras cuatro se pueden hacer el lunes.</w:t>
            </w:r>
          </w:p>
        </w:tc>
      </w:tr>
    </w:tbl>
    <w:p>
      <w:pPr>
        <w:keepNext w:val="false"/>
        <w:spacing w:after="160"/>
      </w:pPr>
    </w:p>
    <w:p>
      <w:pPr>
        <w:pStyle w:val="Heading2"/>
        <w:spacing w:after="100" w:before="280"/>
      </w:pPr>
      <w:r>
        <w:rPr>
          <w:rFonts w:ascii="Calibri" w:cs="Calibri" w:eastAsia="Calibri" w:hAnsi="Calibri"/>
          <w:b/>
          <w:bCs/>
          <w:color w:val="1F4E79"/>
          <w:sz w:val="24"/>
          <w:szCs w:val="24"/>
        </w:rPr>
        <w:t xml:space="preserve">7.9 Las pruebas y qué entregar</w:t>
      </w:r>
    </w:p>
    <w:p>
      <w:pPr>
        <w:spacing w:after="120" w:before="0" w:line="276"/>
      </w:pPr>
      <w:r>
        <w:rPr>
          <w:rFonts w:ascii="Calibri" w:cs="Calibri" w:eastAsia="Calibri" w:hAnsi="Calibri"/>
          <w:color w:val="1A1A1A"/>
          <w:sz w:val="21"/>
          <w:szCs w:val="21"/>
        </w:rPr>
        <w:t xml:space="preserve">Siete pruebas, cada una un archivo .sql corto que imprime si pasó o falló: transferencia correcta, sin saldo, repetida con la misma clave de idempotencia, cien concurrentes contra la misma cuenta, débitos igual a créditos sobre toda la base, reversión, y RLS (cliente A no ve ni modifica lo de B).</w:t>
      </w:r>
    </w:p>
    <w:p>
      <w:pPr>
        <w:keepNext w:val="false"/>
        <w:spacing w:after="60"/>
      </w:pPr>
    </w:p>
    <w:tbl>
      <w:tblPr>
        <w:tblW w:type="dxa" w:w="9360"/>
        <w:tblBorders>
          <w:top w:val="none" w:color="FFFFFF" w:sz="0"/>
          <w:left w:val="single" w:color="E0A64A" w:sz="18"/>
          <w:bottom w:val="none" w:color="FFFFFF" w:sz="0"/>
          <w:right w:val="none" w:color="FFFFFF" w:sz="0"/>
          <w:insideH w:val="none" w:color="FFFFFF" w:sz="0"/>
          <w:insideV w:val="none" w:color="FFFFFF" w:sz="0"/>
        </w:tblBorders>
      </w:tblPr>
      <w:tblGrid>
        <w:gridCol w:w="9360"/>
      </w:tblGrid>
      <w:tr>
        <w:tc>
          <w:tcPr>
            <w:tcW w:type="dxa" w:w="9360"/>
            <w:shd w:fill="FFF6E5" w:val="clear"/>
            <w:tcMar>
              <w:top w:type="dxa" w:w="140"/>
              <w:left w:type="dxa" w:w="200"/>
              <w:bottom w:type="dxa" w:w="140"/>
              <w:right w:type="dxa" w:w="200"/>
            </w:tcMar>
          </w:tcPr>
          <w:p>
            <w:pPr>
              <w:spacing w:after="0" w:before="0" w:line="276"/>
            </w:pPr>
            <w:r>
              <w:rPr>
                <w:rFonts w:ascii="Calibri" w:cs="Calibri" w:eastAsia="Calibri" w:hAnsi="Calibri"/>
                <w:b/>
                <w:bCs/>
                <w:color w:val="5A4520"/>
                <w:sz w:val="21"/>
                <w:szCs w:val="21"/>
              </w:rPr>
              <w:t xml:space="preserve">Ojo con el RLS actual: </w:t>
            </w:r>
            <w:r>
              <w:rPr>
                <w:rFonts w:ascii="Calibri" w:cs="Calibri" w:eastAsia="Calibri" w:hAnsi="Calibri"/>
                <w:color w:val="1A1A1A"/>
                <w:sz w:val="21"/>
                <w:szCs w:val="21"/>
              </w:rPr>
              <w:t xml:space="preserve">las políticas solo cubren SELECT y usan únicamente USING, así que un cliente podría insertar filas sobre cuentas ajenas. Hay que agregar WITH CHECK y políticas para INSERT y UPDATE. Además core.clientes tiene el RLS activado sin ninguna política, lo que bloquea la tabla entera.</w:t>
            </w:r>
          </w:p>
        </w:tc>
      </w:tr>
    </w:tbl>
    <w:p>
      <w:pPr>
        <w:keepNext w:val="false"/>
        <w:spacing w:after="160"/>
      </w:pPr>
    </w:p>
    <w:p>
      <w:pPr>
        <w:spacing w:after="120" w:before="0" w:line="276"/>
      </w:pPr>
      <w:r>
        <w:rPr>
          <w:rFonts w:ascii="Calibri" w:cs="Calibri" w:eastAsia="Calibri" w:hAnsi="Calibri"/>
          <w:b/>
          <w:bCs/>
          <w:color w:val="1A1A1A"/>
          <w:sz w:val="21"/>
          <w:szCs w:val="21"/>
        </w:rPr>
        <w:t xml:space="preserve">Entregables: </w:t>
      </w:r>
      <w:r>
        <w:rPr>
          <w:rFonts w:ascii="Calibri" w:cs="Calibri" w:eastAsia="Calibri" w:hAnsi="Calibri"/>
          <w:color w:val="1A1A1A"/>
          <w:sz w:val="21"/>
          <w:szCs w:val="21"/>
        </w:rPr>
        <w:t xml:space="preserve">script maestro corregido y migraciones con reversa · generador v2 con semilla fija · CSV limpios y RAW con el catálogo, el domingo al mediodía · las notas de gestión · la vista y la función de puntaje · las siete pruebas con captura · diagrama ER y diccionario · el script de los «2 segundos» en sus dos versiones.</w:t>
      </w:r>
    </w:p>
    <w:p>
      <w:r>
        <w:br w:type="page"/>
      </w:r>
    </w:p>
    <w:p>
      <w:pPr>
        <w:pStyle w:val="Heading1"/>
        <w:pBdr>
          <w:bottom w:val="single" w:color="BFD3E6" w:sz="6" w:space="6"/>
        </w:pBdr>
        <w:spacing w:after="160" w:before="400"/>
      </w:pPr>
      <w:r>
        <w:rPr>
          <w:rFonts w:ascii="Calibri" w:cs="Calibri" w:eastAsia="Calibri" w:hAnsi="Calibri"/>
          <w:b/>
          <w:bCs/>
          <w:color w:val="1F4E79"/>
          <w:sz w:val="30"/>
          <w:szCs w:val="30"/>
        </w:rPr>
        <w:t xml:space="preserve">8. Victor — AWS, pipeline y GenAI</w:t>
      </w:r>
    </w:p>
    <w:p>
      <w:pPr>
        <w:spacing w:after="120" w:before="0" w:line="276"/>
      </w:pPr>
      <w:r>
        <w:rPr>
          <w:rFonts w:ascii="Calibri" w:cs="Calibri" w:eastAsia="Calibri" w:hAnsi="Calibri"/>
          <w:color w:val="1A1A1A"/>
          <w:sz w:val="21"/>
          <w:szCs w:val="21"/>
        </w:rPr>
        <w:t xml:space="preserve">El objetivo del frente es que un archivo que entra sucio no llegue nunca a la lista de cobranza, y que eso se pueda ver pasar en vivo.</w:t>
      </w:r>
    </w:p>
    <w:p>
      <w:pPr>
        <w:pStyle w:val="Heading2"/>
        <w:spacing w:after="100" w:before="280"/>
      </w:pPr>
      <w:r>
        <w:rPr>
          <w:rFonts w:ascii="Calibri" w:cs="Calibri" w:eastAsia="Calibri" w:hAnsi="Calibri"/>
          <w:b/>
          <w:bCs/>
          <w:color w:val="1F4E79"/>
          <w:sz w:val="24"/>
          <w:szCs w:val="24"/>
        </w:rPr>
        <w:t xml:space="preserve">8.1 Qué construir, en orden</w:t>
      </w:r>
    </w:p>
    <w:p>
      <w:pPr>
        <w:pStyle w:val="ListParagraph"/>
        <w:numPr>
          <w:ilvl w:val="0"/>
          <w:numId w:val="5"/>
        </w:numPr>
        <w:spacing w:after="70" w:line="276"/>
      </w:pPr>
      <w:r>
        <w:rPr>
          <w:rFonts w:ascii="Calibri" w:cs="Calibri" w:eastAsia="Calibri" w:hAnsi="Calibri"/>
          <w:color w:val="1A1A1A"/>
          <w:sz w:val="21"/>
          <w:szCs w:val="21"/>
        </w:rPr>
        <w:t xml:space="preserve">Cuenta segura: MFA en la raíz, usuario administrador aparte, alerta de presupuesto a cinco dólares. Antes de crear nada más.</w:t>
      </w:r>
    </w:p>
    <w:p>
      <w:pPr>
        <w:pStyle w:val="ListParagraph"/>
        <w:numPr>
          <w:ilvl w:val="0"/>
          <w:numId w:val="5"/>
        </w:numPr>
        <w:spacing w:after="70" w:line="276"/>
      </w:pPr>
      <w:r>
        <w:rPr>
          <w:rFonts w:ascii="Calibri" w:cs="Calibri" w:eastAsia="Calibri" w:hAnsi="Calibri"/>
          <w:color w:val="1A1A1A"/>
          <w:sz w:val="21"/>
          <w:szCs w:val="21"/>
        </w:rPr>
        <w:t xml:space="preserve">RDS PostgreSQL. Sin IP pública si se puede; si no, acceso restringido a las IP del equipo y SSL obligatorio, diciendo en la exposición que en producción iría en red privada.</w:t>
      </w:r>
    </w:p>
    <w:p>
      <w:pPr>
        <w:pStyle w:val="ListParagraph"/>
        <w:numPr>
          <w:ilvl w:val="0"/>
          <w:numId w:val="5"/>
        </w:numPr>
        <w:spacing w:after="70" w:line="276"/>
      </w:pPr>
      <w:r>
        <w:rPr>
          <w:rFonts w:ascii="Calibri" w:cs="Calibri" w:eastAsia="Calibri" w:hAnsi="Calibri"/>
          <w:color w:val="1A1A1A"/>
          <w:sz w:val="21"/>
          <w:szCs w:val="21"/>
        </w:rPr>
        <w:t xml:space="preserve">Los buckets S3 con las cuatro carpetas: bronze, silver, quarantine y gold.</w:t>
      </w:r>
    </w:p>
    <w:p>
      <w:pPr>
        <w:pStyle w:val="ListParagraph"/>
        <w:numPr>
          <w:ilvl w:val="0"/>
          <w:numId w:val="5"/>
        </w:numPr>
        <w:spacing w:after="70" w:line="276"/>
      </w:pPr>
      <w:r>
        <w:rPr>
          <w:rFonts w:ascii="Calibri" w:cs="Calibri" w:eastAsia="Calibri" w:hAnsi="Calibri"/>
          <w:color w:val="1A1A1A"/>
          <w:sz w:val="21"/>
          <w:szCs w:val="21"/>
        </w:rPr>
        <w:t xml:space="preserve">Cargar la data limpia con COPY, que es mucho más rápido que correr los INSERT uno por uno.</w:t>
      </w:r>
    </w:p>
    <w:p>
      <w:pPr>
        <w:pStyle w:val="ListParagraph"/>
        <w:numPr>
          <w:ilvl w:val="0"/>
          <w:numId w:val="5"/>
        </w:numPr>
        <w:spacing w:after="70" w:line="276"/>
      </w:pPr>
      <w:r>
        <w:rPr>
          <w:rFonts w:ascii="Calibri" w:cs="Calibri" w:eastAsia="Calibri" w:hAnsi="Calibri"/>
          <w:color w:val="1A1A1A"/>
          <w:sz w:val="21"/>
          <w:szCs w:val="21"/>
        </w:rPr>
        <w:t xml:space="preserve">El notebook de extracción: lee de RDS y escribe Parquet en bronze.</w:t>
      </w:r>
    </w:p>
    <w:p>
      <w:pPr>
        <w:pStyle w:val="ListParagraph"/>
        <w:numPr>
          <w:ilvl w:val="0"/>
          <w:numId w:val="5"/>
        </w:numPr>
        <w:spacing w:after="70" w:line="276"/>
      </w:pPr>
      <w:r>
        <w:rPr>
          <w:rFonts w:ascii="Calibri" w:cs="Calibri" w:eastAsia="Calibri" w:hAnsi="Calibri"/>
          <w:color w:val="1A1A1A"/>
          <w:sz w:val="21"/>
          <w:szCs w:val="21"/>
        </w:rPr>
        <w:t xml:space="preserve">La Lambda de calidad: lee las reglas de dq.data_quality_rules, las corre sobre el archivo, escribe resultados en dq.data_quality_results y manda lo que falla a quarantine. Si una regla crítica pasa el umbral, corta y avisa.</w:t>
      </w:r>
    </w:p>
    <w:p>
      <w:pPr>
        <w:pStyle w:val="ListParagraph"/>
        <w:numPr>
          <w:ilvl w:val="0"/>
          <w:numId w:val="5"/>
        </w:numPr>
        <w:spacing w:after="70" w:line="276"/>
      </w:pPr>
      <w:r>
        <w:rPr>
          <w:rFonts w:ascii="Calibri" w:cs="Calibri" w:eastAsia="Calibri" w:hAnsi="Calibri"/>
          <w:color w:val="1A1A1A"/>
          <w:sz w:val="21"/>
          <w:szCs w:val="21"/>
        </w:rPr>
        <w:t xml:space="preserve">Step Functions encadenando todo, disparado al aparecer un archivo en bronze, con alerta por correo con SNS.</w:t>
      </w:r>
    </w:p>
    <w:p>
      <w:pPr>
        <w:pStyle w:val="ListParagraph"/>
        <w:numPr>
          <w:ilvl w:val="0"/>
          <w:numId w:val="5"/>
        </w:numPr>
        <w:spacing w:after="70" w:line="276"/>
      </w:pPr>
      <w:r>
        <w:rPr>
          <w:rFonts w:ascii="Calibri" w:cs="Calibri" w:eastAsia="Calibri" w:hAnsi="Calibri"/>
          <w:color w:val="1A1A1A"/>
          <w:sz w:val="21"/>
          <w:szCs w:val="21"/>
        </w:rPr>
        <w:t xml:space="preserve">La Lambda que arma el modelo estrella en gold, incluida la foto mensual de créditos que permite calcular el roll-rate, y lo deja en la carpeta de OneDrive que lee Power BI.</w:t>
      </w:r>
    </w:p>
    <w:p>
      <w:pPr>
        <w:pStyle w:val="ListParagraph"/>
        <w:numPr>
          <w:ilvl w:val="0"/>
          <w:numId w:val="5"/>
        </w:numPr>
        <w:spacing w:after="70" w:line="276"/>
      </w:pPr>
      <w:r>
        <w:rPr>
          <w:rFonts w:ascii="Calibri" w:cs="Calibri" w:eastAsia="Calibri" w:hAnsi="Calibri"/>
          <w:color w:val="1A1A1A"/>
          <w:sz w:val="21"/>
          <w:szCs w:val="21"/>
        </w:rPr>
        <w:t xml:space="preserve">Mover el pepper del HMAC a Parameter Store y darle a cada Lambda su propio rol con permisos mínimos.</w:t>
      </w:r>
    </w:p>
    <w:p>
      <w:pPr>
        <w:pStyle w:val="ListParagraph"/>
        <w:numPr>
          <w:ilvl w:val="0"/>
          <w:numId w:val="5"/>
        </w:numPr>
        <w:spacing w:after="70" w:line="276"/>
      </w:pPr>
      <w:r>
        <w:rPr>
          <w:rFonts w:ascii="Calibri" w:cs="Calibri" w:eastAsia="Calibri" w:hAnsi="Calibri"/>
          <w:color w:val="1A1A1A"/>
          <w:sz w:val="21"/>
          <w:szCs w:val="21"/>
        </w:rPr>
        <w:t xml:space="preserve">La Lambda de Bedrock: lee las notas pendientes, llama a Nova Micro por lotes, valida que la respuesta sea JSON y escribe el resultado en gold. Con el tope de tokens y el log.</w:t>
      </w:r>
    </w:p>
    <w:p>
      <w:pPr>
        <w:keepNext w:val="false"/>
        <w:spacing w:after="60"/>
      </w:pPr>
    </w:p>
    <w:tbl>
      <w:tblPr>
        <w:tblW w:type="dxa" w:w="9360"/>
        <w:tblBorders>
          <w:top w:val="none" w:color="FFFFFF" w:sz="0"/>
          <w:left w:val="single" w:color="72BFA0" w:sz="18"/>
          <w:bottom w:val="none" w:color="FFFFFF" w:sz="0"/>
          <w:right w:val="none" w:color="FFFFFF" w:sz="0"/>
          <w:insideH w:val="none" w:color="FFFFFF" w:sz="0"/>
          <w:insideV w:val="none" w:color="FFFFFF" w:sz="0"/>
        </w:tblBorders>
      </w:tblPr>
      <w:tblGrid>
        <w:gridCol w:w="9360"/>
      </w:tblGrid>
      <w:tr>
        <w:tc>
          <w:tcPr>
            <w:tcW w:type="dxa" w:w="9360"/>
            <w:shd w:fill="E8F5EE" w:val="clear"/>
            <w:tcMar>
              <w:top w:type="dxa" w:w="140"/>
              <w:left w:type="dxa" w:w="200"/>
              <w:bottom w:type="dxa" w:w="140"/>
              <w:right w:type="dxa" w:w="200"/>
            </w:tcMar>
          </w:tcPr>
          <w:p>
            <w:pPr>
              <w:spacing w:after="0" w:before="0" w:line="276"/>
            </w:pPr>
            <w:r>
              <w:rPr>
                <w:rFonts w:ascii="Calibri" w:cs="Calibri" w:eastAsia="Calibri" w:hAnsi="Calibri"/>
                <w:b/>
                <w:bCs/>
                <w:color w:val="1E7F66"/>
                <w:sz w:val="21"/>
                <w:szCs w:val="21"/>
              </w:rPr>
              <w:t xml:space="preserve">El detalle que hace la demo: </w:t>
            </w:r>
            <w:r>
              <w:rPr>
                <w:rFonts w:ascii="Calibri" w:cs="Calibri" w:eastAsia="Calibri" w:hAnsi="Calibri"/>
                <w:color w:val="1A1A1A"/>
                <w:sz w:val="21"/>
                <w:szCs w:val="21"/>
              </w:rPr>
              <w:t xml:space="preserve">que el corte sea visible. Cuando la regla crítica falla, el grafo de Step Functions se pone rojo, llega el correo y los registros aparecen en quarantine. Son tres pantallas y es lo que la gente recuerda.</w:t>
            </w:r>
          </w:p>
        </w:tc>
      </w:tr>
    </w:tbl>
    <w:p>
      <w:pPr>
        <w:keepNext w:val="false"/>
        <w:spacing w:after="160"/>
      </w:pPr>
    </w:p>
    <w:p>
      <w:pPr>
        <w:keepNext w:val="false"/>
        <w:spacing w:after="60"/>
      </w:pPr>
    </w:p>
    <w:tbl>
      <w:tblPr>
        <w:tblW w:type="dxa" w:w="9360"/>
        <w:tblBorders>
          <w:top w:val="none" w:color="FFFFFF" w:sz="0"/>
          <w:left w:val="single" w:color="9DB6CE" w:sz="18"/>
          <w:bottom w:val="none" w:color="FFFFFF" w:sz="0"/>
          <w:right w:val="none" w:color="FFFFFF" w:sz="0"/>
          <w:insideH w:val="none" w:color="FFFFFF" w:sz="0"/>
          <w:insideV w:val="none" w:color="FFFFFF" w:sz="0"/>
        </w:tblBorders>
      </w:tblPr>
      <w:tblGrid>
        <w:gridCol w:w="9360"/>
      </w:tblGrid>
      <w:tr>
        <w:tc>
          <w:tcPr>
            <w:tcW w:type="dxa" w:w="9360"/>
            <w:shd w:fill="F2F5F8" w:val="clear"/>
            <w:tcMar>
              <w:top w:type="dxa" w:w="140"/>
              <w:left w:type="dxa" w:w="200"/>
              <w:bottom w:type="dxa" w:w="140"/>
              <w:right w:type="dxa" w:w="200"/>
            </w:tcMar>
          </w:tcPr>
          <w:p>
            <w:pPr>
              <w:spacing w:after="0" w:before="0" w:line="276"/>
            </w:pPr>
            <w:r>
              <w:rPr>
                <w:rFonts w:ascii="Calibri" w:cs="Calibri" w:eastAsia="Calibri" w:hAnsi="Calibri"/>
                <w:b/>
                <w:bCs/>
                <w:color w:val="1F4E79"/>
                <w:sz w:val="21"/>
                <w:szCs w:val="21"/>
              </w:rPr>
              <w:t xml:space="preserve">Un paso más, el lunes temprano: </w:t>
            </w:r>
            <w:r>
              <w:rPr>
                <w:rFonts w:ascii="Calibri" w:cs="Calibri" w:eastAsia="Calibri" w:hAnsi="Calibri"/>
                <w:color w:val="1A1A1A"/>
                <w:sz w:val="21"/>
                <w:szCs w:val="21"/>
              </w:rPr>
              <w:t xml:space="preserve">la Lambda con Function URL que recibe la nota desde la app de Azure, valida el contenido y lo deja como JSON en Bronze. Lleva una clave en la cabecera guardada en Parameter Store y un tope de tamaño por petición. No toca la base: solo escribe en el lago. Hay que levantarla primero, porque Jessi necesita la URL para armar el formulario.</w:t>
            </w:r>
          </w:p>
        </w:tc>
      </w:tr>
    </w:tbl>
    <w:p>
      <w:pPr>
        <w:keepNext w:val="false"/>
        <w:spacing w:after="160"/>
      </w:pPr>
    </w:p>
    <w:p>
      <w:pPr>
        <w:pStyle w:val="Heading2"/>
        <w:spacing w:after="100" w:before="280"/>
      </w:pPr>
      <w:r>
        <w:rPr>
          <w:rFonts w:ascii="Calibri" w:cs="Calibri" w:eastAsia="Calibri" w:hAnsi="Calibri"/>
          <w:b/>
          <w:bCs/>
          <w:color w:val="1F4E79"/>
          <w:sz w:val="24"/>
          <w:szCs w:val="24"/>
        </w:rPr>
        <w:t xml:space="preserve">8.2 El prompt del clasificador</w:t>
      </w:r>
    </w:p>
    <w:p>
      <w:pPr>
        <w:spacing w:after="120" w:before="0" w:line="276"/>
      </w:pPr>
      <w:r>
        <w:rPr>
          <w:rFonts w:ascii="Calibri" w:cs="Calibri" w:eastAsia="Calibri" w:hAnsi="Calibri"/>
          <w:color w:val="1A1A1A"/>
          <w:sz w:val="21"/>
          <w:szCs w:val="21"/>
        </w:rPr>
        <w:t xml:space="preserve">El prompt y su evaluación son de este frente, porque es quien construye la Lambda y la conexión con Bedrock. Se escribe el domingo, para que el lunes la función ya lo tenga. Mismo formato que el laboratorio anterior: una versión base y una mejorada, para poder mostrar qué cambió y por qué.</w:t>
      </w:r>
    </w:p>
    <w:p>
      <w:pPr>
        <w:pStyle w:val="Heading3"/>
        <w:spacing w:after="80" w:before="200"/>
      </w:pPr>
      <w:r>
        <w:rPr>
          <w:rFonts w:ascii="Calibri" w:cs="Calibri" w:eastAsia="Calibri" w:hAnsi="Calibri"/>
          <w:b/>
          <w:bCs/>
          <w:color w:val="333333"/>
          <w:sz w:val="22"/>
          <w:szCs w:val="22"/>
        </w:rPr>
        <w:t xml:space="preserve">Versión 1 — la base</w:t>
      </w:r>
    </w:p>
    <w:p>
      <w:pPr>
        <w:pBdr>
          <w:top w:val="single" w:color="F4F4F4" w:sz="2" w:space="6"/>
          <w:bottom w:val="single" w:color="F4F4F4" w:sz="2" w:space="6"/>
          <w:left w:val="single" w:color="F4F4F4" w:sz="2" w:space="6"/>
          <w:right w:val="single" w:color="F4F4F4" w:sz="2" w:space="6"/>
        </w:pBdr>
        <w:shd w:fill="F4F4F4" w:val="clear"/>
        <w:spacing w:after="120" w:before="80" w:line="240"/>
        <w:ind w:left="200" w:right="200"/>
      </w:pPr>
      <w:r>
        <w:rPr>
          <w:rFonts w:ascii="Consolas" w:cs="Consolas" w:eastAsia="Consolas" w:hAnsi="Consolas"/>
          <w:color w:val="1A1A1A"/>
          <w:sz w:val="17"/>
          <w:szCs w:val="17"/>
        </w:rPr>
        <w:t xml:space="preserve">Clasifica esta nota de gestión de cobranza.</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Nota: {{texto_nota}}</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Devuelve el motivo del atraso y si hay compromiso de pago.</w:t>
      </w:r>
    </w:p>
    <w:p>
      <w:pPr>
        <w:pStyle w:val="Heading3"/>
        <w:spacing w:after="80" w:before="200"/>
      </w:pPr>
      <w:r>
        <w:rPr>
          <w:rFonts w:ascii="Calibri" w:cs="Calibri" w:eastAsia="Calibri" w:hAnsi="Calibri"/>
          <w:b/>
          <w:bCs/>
          <w:color w:val="333333"/>
          <w:sz w:val="22"/>
          <w:szCs w:val="22"/>
        </w:rPr>
        <w:t xml:space="preserve">Versión 2 — con categorías cerradas, reglas y confianza</w:t>
      </w:r>
    </w:p>
    <w:p>
      <w:pPr>
        <w:pBdr>
          <w:top w:val="single" w:color="F4F4F4" w:sz="2" w:space="6"/>
          <w:bottom w:val="single" w:color="F4F4F4" w:sz="2" w:space="6"/>
          <w:left w:val="single" w:color="F4F4F4" w:sz="2" w:space="6"/>
          <w:right w:val="single" w:color="F4F4F4" w:sz="2" w:space="6"/>
        </w:pBdr>
        <w:shd w:fill="F4F4F4" w:val="clear"/>
        <w:spacing w:after="120" w:before="80" w:line="240"/>
        <w:ind w:left="200" w:right="200"/>
      </w:pPr>
      <w:r>
        <w:rPr>
          <w:rFonts w:ascii="Consolas" w:cs="Consolas" w:eastAsia="Consolas" w:hAnsi="Consolas"/>
          <w:color w:val="1A1A1A"/>
          <w:sz w:val="17"/>
          <w:szCs w:val="17"/>
        </w:rPr>
        <w:t xml:space="preserve">Actúa como analista de cobranza de un banco peruano.</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Clasifica la nota de gestión en UNA de estas categorías:</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 OLVIDO: reconoce la deuda y dice que se le pasó.</w:t>
      </w:r>
      <w:r>
        <w:br/>
      </w:r>
      <w:r>
        <w:rPr>
          <w:rFonts w:ascii="Consolas" w:cs="Consolas" w:eastAsia="Consolas" w:hAnsi="Consolas"/>
          <w:color w:val="1A1A1A"/>
          <w:sz w:val="17"/>
          <w:szCs w:val="17"/>
        </w:rPr>
        <w:t xml:space="preserve">- PROBLEMA_LIQUIDEZ: declara falta de dinero, pérdida de empleo</w:t>
      </w:r>
      <w:r>
        <w:br/>
      </w:r>
      <w:r>
        <w:rPr>
          <w:rFonts w:ascii="Consolas" w:cs="Consolas" w:eastAsia="Consolas" w:hAnsi="Consolas"/>
          <w:color w:val="1A1A1A"/>
          <w:sz w:val="17"/>
          <w:szCs w:val="17"/>
        </w:rPr>
        <w:t xml:space="preserve">  o pide refinanciar.</w:t>
      </w:r>
      <w:r>
        <w:br/>
      </w:r>
      <w:r>
        <w:rPr>
          <w:rFonts w:ascii="Consolas" w:cs="Consolas" w:eastAsia="Consolas" w:hAnsi="Consolas"/>
          <w:color w:val="1A1A1A"/>
          <w:sz w:val="17"/>
          <w:szCs w:val="17"/>
        </w:rPr>
        <w:t xml:space="preserve">- DISPUTA_CARGO: reconoce el producto pero discute un monto,</w:t>
      </w:r>
      <w:r>
        <w:br/>
      </w:r>
      <w:r>
        <w:rPr>
          <w:rFonts w:ascii="Consolas" w:cs="Consolas" w:eastAsia="Consolas" w:hAnsi="Consolas"/>
          <w:color w:val="1A1A1A"/>
          <w:sz w:val="17"/>
          <w:szCs w:val="17"/>
        </w:rPr>
        <w:t xml:space="preserve">  una comisión o un interés.</w:t>
      </w:r>
      <w:r>
        <w:br/>
      </w:r>
      <w:r>
        <w:rPr>
          <w:rFonts w:ascii="Consolas" w:cs="Consolas" w:eastAsia="Consolas" w:hAnsi="Consolas"/>
          <w:color w:val="1A1A1A"/>
          <w:sz w:val="17"/>
          <w:szCs w:val="17"/>
        </w:rPr>
        <w:t xml:space="preserve">- NO_RECONOCE_DEUDA: niega haber contratado el producto.</w:t>
      </w:r>
      <w:r>
        <w:br/>
      </w:r>
      <w:r>
        <w:rPr>
          <w:rFonts w:ascii="Consolas" w:cs="Consolas" w:eastAsia="Consolas" w:hAnsi="Consolas"/>
          <w:color w:val="1A1A1A"/>
          <w:sz w:val="17"/>
          <w:szCs w:val="17"/>
        </w:rPr>
        <w:t xml:space="preserve">- ILOCALIZABLE: no se logró contacto.</w:t>
      </w:r>
      <w:r>
        <w:br/>
      </w:r>
      <w:r>
        <w:rPr>
          <w:rFonts w:ascii="Consolas" w:cs="Consolas" w:eastAsia="Consolas" w:hAnsi="Consolas"/>
          <w:color w:val="1A1A1A"/>
          <w:sz w:val="17"/>
          <w:szCs w:val="17"/>
        </w:rPr>
        <w:t xml:space="preserve">- OTRO: no encaja en ninguna anterior.</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Regla para casos mixtos: si la nota dice que no reconoce la deuda,</w:t>
      </w:r>
      <w:r>
        <w:br/>
      </w:r>
      <w:r>
        <w:rPr>
          <w:rFonts w:ascii="Consolas" w:cs="Consolas" w:eastAsia="Consolas" w:hAnsi="Consolas"/>
          <w:color w:val="1A1A1A"/>
          <w:sz w:val="17"/>
          <w:szCs w:val="17"/>
        </w:rPr>
        <w:t xml:space="preserve">clasifica NO_RECONOCE_DEUDA aunque también mencione falta de</w:t>
      </w:r>
      <w:r>
        <w:br/>
      </w:r>
      <w:r>
        <w:rPr>
          <w:rFonts w:ascii="Consolas" w:cs="Consolas" w:eastAsia="Consolas" w:hAnsi="Consolas"/>
          <w:color w:val="1A1A1A"/>
          <w:sz w:val="17"/>
          <w:szCs w:val="17"/>
        </w:rPr>
        <w:t xml:space="preserve">dinero. Esa categoría manda porque saca el caso de cobranza.</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Reglas:</w:t>
      </w:r>
      <w:r>
        <w:br/>
      </w:r>
      <w:r>
        <w:rPr>
          <w:rFonts w:ascii="Consolas" w:cs="Consolas" w:eastAsia="Consolas" w:hAnsi="Consolas"/>
          <w:color w:val="1A1A1A"/>
          <w:sz w:val="17"/>
          <w:szCs w:val="17"/>
        </w:rPr>
        <w:t xml:space="preserve">- Usa solo lo que dice la nota. No infieras ni completes.</w:t>
      </w:r>
      <w:r>
        <w:br/>
      </w:r>
      <w:r>
        <w:rPr>
          <w:rFonts w:ascii="Consolas" w:cs="Consolas" w:eastAsia="Consolas" w:hAnsi="Consolas"/>
          <w:color w:val="1A1A1A"/>
          <w:sz w:val="17"/>
          <w:szCs w:val="17"/>
        </w:rPr>
        <w:t xml:space="preserve">- Si es ambigua o muy corta, usa OTRO y confianza BAJA.</w:t>
      </w:r>
      <w:r>
        <w:br/>
      </w:r>
      <w:r>
        <w:rPr>
          <w:rFonts w:ascii="Consolas" w:cs="Consolas" w:eastAsia="Consolas" w:hAnsi="Consolas"/>
          <w:color w:val="1A1A1A"/>
          <w:sz w:val="17"/>
          <w:szCs w:val="17"/>
        </w:rPr>
        <w:t xml:space="preserve">- No emitas juicios sobre la persona ni recomiendes acciones.</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Devuelve SOLO este JSON, sin texto adicional:</w:t>
      </w:r>
      <w:r>
        <w:br/>
      </w:r>
      <w:r>
        <w:rPr>
          <w:rFonts w:ascii="Consolas" w:cs="Consolas" w:eastAsia="Consolas" w:hAnsi="Consolas"/>
          <w:color w:val="1A1A1A"/>
          <w:sz w:val="17"/>
          <w:szCs w:val="17"/>
        </w:rPr>
        <w:t xml:space="preserve">{</w:t>
      </w:r>
      <w:r>
        <w:br/>
      </w:r>
      <w:r>
        <w:rPr>
          <w:rFonts w:ascii="Consolas" w:cs="Consolas" w:eastAsia="Consolas" w:hAnsi="Consolas"/>
          <w:color w:val="1A1A1A"/>
          <w:sz w:val="17"/>
          <w:szCs w:val="17"/>
        </w:rPr>
        <w:t xml:space="preserve">  "motivo_atraso": "",</w:t>
      </w:r>
      <w:r>
        <w:br/>
      </w:r>
      <w:r>
        <w:rPr>
          <w:rFonts w:ascii="Consolas" w:cs="Consolas" w:eastAsia="Consolas" w:hAnsi="Consolas"/>
          <w:color w:val="1A1A1A"/>
          <w:sz w:val="17"/>
          <w:szCs w:val="17"/>
        </w:rPr>
        <w:t xml:space="preserve">  "compromiso_pago": "SI|NO",</w:t>
      </w:r>
      <w:r>
        <w:br/>
      </w:r>
      <w:r>
        <w:rPr>
          <w:rFonts w:ascii="Consolas" w:cs="Consolas" w:eastAsia="Consolas" w:hAnsi="Consolas"/>
          <w:color w:val="1A1A1A"/>
          <w:sz w:val="17"/>
          <w:szCs w:val="17"/>
        </w:rPr>
        <w:t xml:space="preserve">  "fecha_compromiso": "AAAA-MM-DD o vacio",</w:t>
      </w:r>
      <w:r>
        <w:br/>
      </w:r>
      <w:r>
        <w:rPr>
          <w:rFonts w:ascii="Consolas" w:cs="Consolas" w:eastAsia="Consolas" w:hAnsi="Consolas"/>
          <w:color w:val="1A1A1A"/>
          <w:sz w:val="17"/>
          <w:szCs w:val="17"/>
        </w:rPr>
        <w:t xml:space="preserve">  "confianza": "ALTA|MEDIA|BAJA"</w:t>
      </w:r>
      <w:r>
        <w:br/>
      </w:r>
      <w:r>
        <w:rPr>
          <w:rFonts w:ascii="Consolas" w:cs="Consolas" w:eastAsia="Consolas" w:hAnsi="Consolas"/>
          <w:color w:val="1A1A1A"/>
          <w:sz w:val="17"/>
          <w:szCs w:val="17"/>
        </w:rPr>
        <w:t xml:space="preserve">}</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Nota: {{texto_nota}}</w:t>
      </w:r>
    </w:p>
    <w:p>
      <w:pPr>
        <w:spacing w:after="120" w:before="0" w:line="276"/>
      </w:pPr>
      <w:r>
        <w:rPr>
          <w:rFonts w:ascii="Calibri" w:cs="Calibri" w:eastAsia="Calibri" w:hAnsi="Calibri"/>
          <w:color w:val="1A1A1A"/>
          <w:sz w:val="21"/>
          <w:szCs w:val="21"/>
        </w:rPr>
        <w:t xml:space="preserve">Se guardan las dos corridas y el conteo de aciertos contra las treinta notas etiquetadas a mano. Esa comparación es entregable, igual que en el laboratorio.</w:t>
      </w:r>
    </w:p>
    <w:p>
      <w:pPr>
        <w:pStyle w:val="Heading2"/>
        <w:spacing w:after="100" w:before="280"/>
      </w:pPr>
      <w:r>
        <w:rPr>
          <w:rFonts w:ascii="Calibri" w:cs="Calibri" w:eastAsia="Calibri" w:hAnsi="Calibri"/>
          <w:b/>
          <w:bCs/>
          <w:color w:val="1F4E79"/>
          <w:sz w:val="24"/>
          <w:szCs w:val="24"/>
        </w:rPr>
        <w:t xml:space="preserve">8.3 Riesgos del frente</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3200"/>
        <w:gridCol w:w="6160"/>
      </w:tblGrid>
      <w:tr>
        <w:trPr>
          <w:tblHeader/>
        </w:trPr>
        <w:tc>
          <w:tcPr>
            <w:tcW w:type="dxa" w:w="32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Riesgo</w:t>
            </w:r>
          </w:p>
        </w:tc>
        <w:tc>
          <w:tcPr>
            <w:tcW w:type="dxa" w:w="61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Qué hacer</w:t>
            </w:r>
          </w:p>
        </w:tc>
      </w:tr>
      <w:tr>
        <w:tc>
          <w:tcPr>
            <w:tcW w:type="dxa" w:w="3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Bedrock no está disponible en la región elegida</w:t>
            </w:r>
          </w:p>
        </w:tc>
        <w:tc>
          <w:tcPr>
            <w:tcW w:type="dxa" w:w="61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Verificarlo el domingo, antes de construir. Si no está, usar otra región solo para esa Lambda</w:t>
            </w:r>
          </w:p>
        </w:tc>
      </w:tr>
      <w:tr>
        <w:tc>
          <w:tcPr>
            <w:tcW w:type="dxa" w:w="3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modelo devuelve algo que no es JSON válido</w:t>
            </w:r>
          </w:p>
        </w:tc>
        <w:tc>
          <w:tcPr>
            <w:tcW w:type="dxa" w:w="61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Lambda valida, reintenta una vez y si falla marca la nota para revisión. Nunca se escribe basura en gold</w:t>
            </w:r>
          </w:p>
        </w:tc>
      </w:tr>
      <w:tr>
        <w:tc>
          <w:tcPr>
            <w:tcW w:type="dxa" w:w="3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Alguien mete instrucciones dentro de una nota para manipular al modelo</w:t>
            </w:r>
          </w:p>
        </w:tc>
        <w:tc>
          <w:tcPr>
            <w:tcW w:type="dxa" w:w="61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Dos de las treinta notas de evaluación son exactamente eso, para comprobar que el prompt aguanta</w:t>
            </w:r>
          </w:p>
        </w:tc>
      </w:tr>
      <w:tr>
        <w:tc>
          <w:tcPr>
            <w:tcW w:type="dxa" w:w="3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Se dispara el consumo</w:t>
            </w:r>
          </w:p>
        </w:tc>
        <w:tc>
          <w:tcPr>
            <w:tcW w:type="dxa" w:w="61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Tope de tokens por nota, lote acotado y la alerta de presupuesto ya puesta</w:t>
            </w:r>
          </w:p>
        </w:tc>
      </w:tr>
    </w:tbl>
    <w:p>
      <w:pPr>
        <w:spacing w:after="120" w:before="0" w:line="276"/>
      </w:pPr>
      <w:r>
        <w:rPr>
          <w:rFonts w:ascii="Calibri" w:cs="Calibri" w:eastAsia="Calibri" w:hAnsi="Calibri"/>
          <w:b/>
          <w:bCs/>
          <w:color w:val="1A1A1A"/>
          <w:sz w:val="21"/>
          <w:szCs w:val="21"/>
        </w:rPr>
        <w:t xml:space="preserve">Entregables: </w:t>
      </w:r>
      <w:r>
        <w:rPr>
          <w:rFonts w:ascii="Calibri" w:cs="Calibri" w:eastAsia="Calibri" w:hAnsi="Calibri"/>
          <w:color w:val="1A1A1A"/>
          <w:sz w:val="21"/>
          <w:szCs w:val="21"/>
        </w:rPr>
        <w:t xml:space="preserve">el pipeline de punta a punta con las dos corridas (el lote limpio que llega a gold y el RAW que se detiene) · las seis reglas de calidad cargadas con su versión · el correo de alerta como captura · los archivos gold en la carpeta compartida · el prompt en sus dos versiones con el conteo de aciertos contra las 30 notas etiquetadas · la clasificación corriendo · la lámina de arquitectura · el video de respaldo.</w:t>
      </w:r>
    </w:p>
    <w:p>
      <w:r>
        <w:br w:type="page"/>
      </w:r>
    </w:p>
    <w:p>
      <w:pPr>
        <w:pStyle w:val="Heading1"/>
        <w:pBdr>
          <w:bottom w:val="single" w:color="BFD3E6" w:sz="6" w:space="6"/>
        </w:pBdr>
        <w:spacing w:after="160" w:before="400"/>
      </w:pPr>
      <w:r>
        <w:rPr>
          <w:rFonts w:ascii="Calibri" w:cs="Calibri" w:eastAsia="Calibri" w:hAnsi="Calibri"/>
          <w:b/>
          <w:bCs/>
          <w:color w:val="1F4E79"/>
          <w:sz w:val="30"/>
          <w:szCs w:val="30"/>
        </w:rPr>
        <w:t xml:space="preserve">9. Jessi — Analítica, IA visual y automatización</w:t>
      </w:r>
    </w:p>
    <w:p>
      <w:pPr>
        <w:spacing w:after="120" w:before="0" w:line="276"/>
      </w:pPr>
      <w:r>
        <w:rPr>
          <w:rFonts w:ascii="Calibri" w:cs="Calibri" w:eastAsia="Calibri" w:hAnsi="Calibri"/>
          <w:color w:val="1A1A1A"/>
          <w:sz w:val="21"/>
          <w:szCs w:val="21"/>
        </w:rPr>
        <w:t xml:space="preserve">Este frente es el que el jurado ve. Tiene tres piezas: el dashboard donde se entiende el problema, los visuales de inteligencia artificial que lo explican, y la automatización que convierte la lista en una acción que alguien ejecuta.</w:t>
      </w:r>
    </w:p>
    <w:p>
      <w:pPr>
        <w:pStyle w:val="Heading2"/>
        <w:spacing w:after="100" w:before="280"/>
      </w:pPr>
      <w:r>
        <w:rPr>
          <w:rFonts w:ascii="Calibri" w:cs="Calibri" w:eastAsia="Calibri" w:hAnsi="Calibri"/>
          <w:b/>
          <w:bCs/>
          <w:color w:val="1F4E79"/>
          <w:sz w:val="24"/>
          <w:szCs w:val="24"/>
        </w:rPr>
        <w:t xml:space="preserve">9.1 La prueba de 30 minutos, antes que nada</w:t>
      </w:r>
    </w:p>
    <w:p>
      <w:pPr>
        <w:spacing w:after="120" w:before="0" w:line="276"/>
      </w:pPr>
      <w:r>
        <w:rPr>
          <w:rFonts w:ascii="Calibri" w:cs="Calibri" w:eastAsia="Calibri" w:hAnsi="Calibri"/>
          <w:color w:val="1A1A1A"/>
          <w:sz w:val="21"/>
          <w:szCs w:val="21"/>
        </w:rPr>
        <w:t xml:space="preserve">Un flujo mínimo: cuando llega un correo, crear un archivo .html en OneDrive, convertirlo a PDF y responder con el adjunto. Si eso corre, el resto es viable. Si está bloqueado, se usa una cuenta personal o se graba en video, y se avisa al grupo esa misma noche. Microsoft advierte que la conversión de HTML a PDF a veces falla si se hace muy rápido: conviene poner un retraso de unos diez segundos entre crear y convertir.</w:t>
      </w:r>
    </w:p>
    <w:p>
      <w:pPr>
        <w:keepNext w:val="false"/>
        <w:spacing w:after="60"/>
      </w:pPr>
    </w:p>
    <w:tbl>
      <w:tblPr>
        <w:tblW w:type="dxa" w:w="9360"/>
        <w:tblBorders>
          <w:top w:val="none" w:color="FFFFFF" w:sz="0"/>
          <w:left w:val="single" w:color="E0A64A" w:sz="18"/>
          <w:bottom w:val="none" w:color="FFFFFF" w:sz="0"/>
          <w:right w:val="none" w:color="FFFFFF" w:sz="0"/>
          <w:insideH w:val="none" w:color="FFFFFF" w:sz="0"/>
          <w:insideV w:val="none" w:color="FFFFFF" w:sz="0"/>
        </w:tblBorders>
      </w:tblPr>
      <w:tblGrid>
        <w:gridCol w:w="9360"/>
      </w:tblGrid>
      <w:tr>
        <w:tc>
          <w:tcPr>
            <w:tcW w:type="dxa" w:w="9360"/>
            <w:shd w:fill="FFF6E5" w:val="clear"/>
            <w:tcMar>
              <w:top w:type="dxa" w:w="140"/>
              <w:left w:type="dxa" w:w="200"/>
              <w:bottom w:type="dxa" w:w="140"/>
              <w:right w:type="dxa" w:w="200"/>
            </w:tcMar>
          </w:tcPr>
          <w:p>
            <w:pPr>
              <w:spacing w:after="0" w:before="0" w:line="276"/>
            </w:pPr>
            <w:r>
              <w:rPr>
                <w:rFonts w:ascii="Calibri" w:cs="Calibri" w:eastAsia="Calibri" w:hAnsi="Calibri"/>
                <w:b/>
                <w:bCs/>
                <w:color w:val="5A4520"/>
                <w:sz w:val="21"/>
                <w:szCs w:val="21"/>
              </w:rPr>
              <w:t xml:space="preserve">Antes de escribir la primera medida, revisar la sección 7.8. </w:t>
            </w:r>
            <w:r>
              <w:rPr>
                <w:rFonts w:ascii="Calibri" w:cs="Calibri" w:eastAsia="Calibri" w:hAnsi="Calibri"/>
                <w:color w:val="1A1A1A"/>
                <w:sz w:val="21"/>
                <w:szCs w:val="21"/>
              </w:rPr>
              <w:t xml:space="preserve">Tres de las correcciones pendientes de la base caen directo acá: el filtro de 1 a 60 días de mora, que el cálculo de provisiones va solo sobre la cartera de consumo, y que la categoría de la SBS hay que derivarla de dias_mora y no de la columna bucket_riesgo. Si se escriben las medidas antes de acordar eso, hay que rehacerlas.</w:t>
            </w:r>
          </w:p>
        </w:tc>
      </w:tr>
    </w:tbl>
    <w:p>
      <w:pPr>
        <w:keepNext w:val="false"/>
        <w:spacing w:after="160"/>
      </w:pPr>
    </w:p>
    <w:p>
      <w:pPr>
        <w:pStyle w:val="Heading2"/>
        <w:spacing w:after="100" w:before="280"/>
      </w:pPr>
      <w:r>
        <w:rPr>
          <w:rFonts w:ascii="Calibri" w:cs="Calibri" w:eastAsia="Calibri" w:hAnsi="Calibri"/>
          <w:b/>
          <w:bCs/>
          <w:color w:val="1F4E79"/>
          <w:sz w:val="24"/>
          <w:szCs w:val="24"/>
        </w:rPr>
        <w:t xml:space="preserve">9.2 El dashboard</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1700"/>
        <w:gridCol w:w="7660"/>
      </w:tblGrid>
      <w:tr>
        <w:trPr>
          <w:tblHeader/>
        </w:trPr>
        <w:tc>
          <w:tcPr>
            <w:tcW w:type="dxa" w:w="17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Página</w:t>
            </w:r>
          </w:p>
        </w:tc>
        <w:tc>
          <w:tcPr>
            <w:tcW w:type="dxa" w:w="76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Qué muestra</w:t>
            </w:r>
          </w:p>
        </w:tc>
      </w:tr>
      <w:tr>
        <w:tc>
          <w:tcPr>
            <w:tcW w:type="dxa" w:w="1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Resumen</w:t>
            </w:r>
          </w:p>
        </w:tc>
        <w:tc>
          <w:tcPr>
            <w:tcW w:type="dxa" w:w="76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Clientes, cartera, tasa de morosidad e ingreso neto, con la tendencia de doce meses</w:t>
            </w:r>
          </w:p>
        </w:tc>
      </w:tr>
      <w:tr>
        <w:tc>
          <w:tcPr>
            <w:tcW w:type="dxa" w:w="1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Morosidad</w:t>
            </w:r>
          </w:p>
        </w:tc>
        <w:tc>
          <w:tcPr>
            <w:tcW w:type="dxa" w:w="76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 bucket, por departamento y provincia, por producto y por mes</w:t>
            </w:r>
          </w:p>
        </w:tc>
      </w:tr>
      <w:tr>
        <w:tc>
          <w:tcPr>
            <w:tcW w:type="dxa" w:w="1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Rentabilidad</w:t>
            </w:r>
          </w:p>
        </w:tc>
        <w:tc>
          <w:tcPr>
            <w:tcW w:type="dxa" w:w="76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Producto por segmento: intereses más comisiones, menos costo de fondos y provisiones</w:t>
            </w:r>
          </w:p>
        </w:tc>
      </w:tr>
      <w:tr>
        <w:tc>
          <w:tcPr>
            <w:tcW w:type="dxa" w:w="1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Calidad de datos</w:t>
            </w:r>
          </w:p>
        </w:tc>
        <w:tc>
          <w:tcPr>
            <w:tcW w:type="dxa" w:w="76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Reglas, porcentaje de fallas por corrida, corridas detenidas y registros en cuarentena</w:t>
            </w:r>
          </w:p>
        </w:tc>
      </w:tr>
      <w:tr>
        <w:tc>
          <w:tcPr>
            <w:tcW w:type="dxa" w:w="1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 qué esta lista</w:t>
            </w:r>
          </w:p>
        </w:tc>
        <w:tc>
          <w:tcPr>
            <w:tcW w:type="dxa" w:w="76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análisis detrás de la lista: cuánto saldo está en riesgo, dónde se concentra (el 20 % de los casos con el 75 % de la plata), qué empuja la mora y cuánto cuesta dejarla rodar. La lista caso por caso vive en la app, no acá</w:t>
            </w:r>
          </w:p>
        </w:tc>
      </w:tr>
    </w:tbl>
    <w:p>
      <w:pPr>
        <w:keepNext w:val="false"/>
        <w:spacing w:after="100"/>
      </w:pPr>
    </w:p>
    <w:p>
      <w:pPr>
        <w:spacing w:after="120" w:before="0" w:line="276"/>
      </w:pPr>
      <w:r>
        <w:rPr>
          <w:rFonts w:ascii="Calibri" w:cs="Calibri" w:eastAsia="Calibri" w:hAnsi="Calibri"/>
          <w:b/>
          <w:bCs/>
          <w:color w:val="1A1A1A"/>
          <w:sz w:val="21"/>
          <w:szCs w:val="21"/>
        </w:rPr>
        <w:t xml:space="preserve">Las definiciones van escritas en la lámina</w:t>
      </w:r>
      <w:r>
        <w:rPr>
          <w:rFonts w:ascii="Calibri" w:cs="Calibri" w:eastAsia="Calibri" w:hAnsi="Calibri"/>
          <w:color w:val="1A1A1A"/>
          <w:sz w:val="21"/>
          <w:szCs w:val="21"/>
        </w:rPr>
        <w:t xml:space="preserve">, para que rentabilidad no parezca una suma arbitraria. Tasa de morosidad es el saldo de créditos con más de 30 días de atraso dividido por el saldo total de cartera vigente. La provisión es el saldo por un porcentaje según bucket, con la tabla a la vista. Es la clase de pregunta que un jurado de banco hace siempre.</w:t>
      </w:r>
    </w:p>
    <w:p>
      <w:pPr>
        <w:spacing w:after="120" w:before="0" w:line="276"/>
      </w:pPr>
      <w:r>
        <w:rPr>
          <w:rFonts w:ascii="Calibri" w:cs="Calibri" w:eastAsia="Calibri" w:hAnsi="Calibri"/>
          <w:color w:val="1A1A1A"/>
          <w:sz w:val="21"/>
          <w:szCs w:val="21"/>
        </w:rPr>
        <w:t xml:space="preserve">El dashboard va en modo Import, no conectado en vivo, para no depender del wifi de la sala.</w:t>
      </w:r>
    </w:p>
    <w:p>
      <w:pPr>
        <w:pStyle w:val="Heading2"/>
        <w:spacing w:after="100" w:before="280"/>
      </w:pPr>
      <w:r>
        <w:rPr>
          <w:rFonts w:ascii="Calibri" w:cs="Calibri" w:eastAsia="Calibri" w:hAnsi="Calibri"/>
          <w:b/>
          <w:bCs/>
          <w:color w:val="1F4E79"/>
          <w:sz w:val="24"/>
          <w:szCs w:val="24"/>
        </w:rPr>
        <w:t xml:space="preserve">9.3 La inteligencia artificial que es tuya y no cuesta nada</w:t>
      </w:r>
    </w:p>
    <w:p>
      <w:pPr>
        <w:spacing w:after="120" w:before="0" w:line="276"/>
      </w:pPr>
      <w:r>
        <w:rPr>
          <w:rFonts w:ascii="Calibri" w:cs="Calibri" w:eastAsia="Calibri" w:hAnsi="Calibri"/>
          <w:color w:val="1A1A1A"/>
          <w:sz w:val="21"/>
          <w:szCs w:val="21"/>
        </w:rPr>
        <w:t xml:space="preserve">Power BI Desktop trae visuales de inteligencia artificial que funcionan sin licencia Pro, sin Premium y sin Copilot. No son adornos: son modelos que corren sobre el modelo de datos. Estos cinco entran en el dashboard y se demuestran en vivo.</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2100"/>
        <w:gridCol w:w="3600"/>
        <w:gridCol w:w="3660"/>
      </w:tblGrid>
      <w:tr>
        <w:trPr>
          <w:tblHeader/>
        </w:trPr>
        <w:tc>
          <w:tcPr>
            <w:tcW w:type="dxa" w:w="21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Visual</w:t>
            </w:r>
          </w:p>
        </w:tc>
        <w:tc>
          <w:tcPr>
            <w:tcW w:type="dxa" w:w="36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Qué hace</w:t>
            </w:r>
          </w:p>
        </w:tc>
        <w:tc>
          <w:tcPr>
            <w:tcW w:type="dxa" w:w="36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Dónde ponerlo</w:t>
            </w:r>
          </w:p>
        </w:tc>
      </w:tr>
      <w:tr>
        <w:tc>
          <w:tcPr>
            <w:tcW w:type="dxa" w:w="21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Influenciadores clave</w:t>
            </w:r>
          </w:p>
        </w:tc>
        <w:tc>
          <w:tcPr>
            <w:tcW w:type="dxa" w:w="3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Analiza qué variables empujan realmente a que un crédito caiga en mora y las ordena por peso</w:t>
            </w:r>
          </w:p>
        </w:tc>
        <w:tc>
          <w:tcPr>
            <w:tcW w:type="dxa" w:w="36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Página Morosidad. Es el momento fuerte: la pregunta «¿qué hace que un cliente caiga en mora?» se responde en pantalla</w:t>
            </w:r>
          </w:p>
        </w:tc>
      </w:tr>
      <w:tr>
        <w:tc>
          <w:tcPr>
            <w:tcW w:type="dxa" w:w="21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Árbol de descomposición</w:t>
            </w:r>
          </w:p>
        </w:tc>
        <w:tc>
          <w:tcPr>
            <w:tcW w:type="dxa" w:w="3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Desarma una cifra nivel por nivel, y con la división de IA elige sola el camino donde está el problema</w:t>
            </w:r>
          </w:p>
        </w:tc>
        <w:tc>
          <w:tcPr>
            <w:tcW w:type="dxa" w:w="36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Página Morosidad, debajo del anterior</w:t>
            </w:r>
          </w:p>
        </w:tc>
      </w:tr>
      <w:tr>
        <w:tc>
          <w:tcPr>
            <w:tcW w:type="dxa" w:w="21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Narrativa inteligente</w:t>
            </w:r>
          </w:p>
        </w:tc>
        <w:tc>
          <w:tcPr>
            <w:tcW w:type="dxa" w:w="3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Genera un texto en prosa que resume lo que muestra la página y se actualiza con los filtros</w:t>
            </w:r>
          </w:p>
        </w:tc>
        <w:tc>
          <w:tcPr>
            <w:tcW w:type="dxa" w:w="36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Página Resumen, arriba</w:t>
            </w:r>
          </w:p>
        </w:tc>
      </w:tr>
      <w:tr>
        <w:tc>
          <w:tcPr>
            <w:tcW w:type="dxa" w:w="21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Detección de anomalías</w:t>
            </w:r>
          </w:p>
        </w:tc>
        <w:tc>
          <w:tcPr>
            <w:tcW w:type="dxa" w:w="36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Marca los puntos fuera de patrón en la serie de tiempo y propone una explicación</w:t>
            </w:r>
          </w:p>
        </w:tc>
        <w:tc>
          <w:tcPr>
            <w:tcW w:type="dxa" w:w="36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Página Resumen, sobre la tendencia de doce meses</w:t>
            </w:r>
          </w:p>
        </w:tc>
      </w:tr>
      <w:tr>
        <w:tc>
          <w:tcPr>
            <w:tcW w:type="dxa" w:w="21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Preguntas y respuestas</w:t>
            </w:r>
          </w:p>
        </w:tc>
        <w:tc>
          <w:tcPr>
            <w:tcW w:type="dxa" w:w="36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Se le escribe una pregunta en español y arma el gráfico solo</w:t>
            </w:r>
          </w:p>
        </w:tc>
        <w:tc>
          <w:tcPr>
            <w:tcW w:type="dxa" w:w="36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Página Acción de hoy. Es el visual que mejor funciona en vivo delante de un jurado</w:t>
            </w:r>
          </w:p>
        </w:tc>
      </w:tr>
    </w:tbl>
    <w:p>
      <w:pPr>
        <w:keepNext w:val="false"/>
        <w:spacing w:after="100"/>
      </w:pPr>
    </w:p>
    <w:p>
      <w:pPr>
        <w:spacing w:after="120" w:before="0" w:line="276"/>
      </w:pPr>
      <w:r>
        <w:rPr>
          <w:rFonts w:ascii="Calibri" w:cs="Calibri" w:eastAsia="Calibri" w:hAnsi="Calibri"/>
          <w:b/>
          <w:bCs/>
          <w:color w:val="1A1A1A"/>
          <w:sz w:val="21"/>
          <w:szCs w:val="21"/>
        </w:rPr>
        <w:t xml:space="preserve">Dos advertencias prácticas. </w:t>
      </w:r>
      <w:r>
        <w:rPr>
          <w:rFonts w:ascii="Calibri" w:cs="Calibri" w:eastAsia="Calibri" w:hAnsi="Calibri"/>
          <w:color w:val="1A1A1A"/>
          <w:sz w:val="21"/>
          <w:szCs w:val="21"/>
        </w:rPr>
        <w:t xml:space="preserve">Influenciadores clave no funciona con conexión DirectQuery, pero el dashboard va en modo Import, así que no hay problema. Y el visual de preguntas y respuestas necesita que se le carguen sinónimos en español desde el panel de modelado, si no entiende «mora» como «días de atraso»: son veinte minutos bien invertidos y conviene dejar tres preguntas ensayadas.</w:t>
      </w:r>
    </w:p>
    <w:p>
      <w:pPr>
        <w:keepNext w:val="false"/>
        <w:spacing w:after="60"/>
      </w:pPr>
    </w:p>
    <w:tbl>
      <w:tblPr>
        <w:tblW w:type="dxa" w:w="9360"/>
        <w:tblBorders>
          <w:top w:val="none" w:color="FFFFFF" w:sz="0"/>
          <w:left w:val="single" w:color="E0A64A" w:sz="18"/>
          <w:bottom w:val="none" w:color="FFFFFF" w:sz="0"/>
          <w:right w:val="none" w:color="FFFFFF" w:sz="0"/>
          <w:insideH w:val="none" w:color="FFFFFF" w:sz="0"/>
          <w:insideV w:val="none" w:color="FFFFFF" w:sz="0"/>
        </w:tblBorders>
      </w:tblPr>
      <w:tblGrid>
        <w:gridCol w:w="9360"/>
      </w:tblGrid>
      <w:tr>
        <w:tc>
          <w:tcPr>
            <w:tcW w:type="dxa" w:w="9360"/>
            <w:shd w:fill="FFF6E5" w:val="clear"/>
            <w:tcMar>
              <w:top w:type="dxa" w:w="140"/>
              <w:left w:type="dxa" w:w="200"/>
              <w:bottom w:type="dxa" w:w="140"/>
              <w:right w:type="dxa" w:w="200"/>
            </w:tcMar>
          </w:tcPr>
          <w:p>
            <w:pPr>
              <w:spacing w:after="0" w:before="0" w:line="276"/>
            </w:pPr>
            <w:r>
              <w:rPr>
                <w:rFonts w:ascii="Calibri" w:cs="Calibri" w:eastAsia="Calibri" w:hAnsi="Calibri"/>
                <w:b/>
                <w:bCs/>
                <w:color w:val="5A4520"/>
                <w:sz w:val="21"/>
                <w:szCs w:val="21"/>
              </w:rPr>
              <w:t xml:space="preserve">Honestidad sobre los influenciadores clave: </w:t>
            </w:r>
            <w:r>
              <w:rPr>
                <w:rFonts w:ascii="Calibri" w:cs="Calibri" w:eastAsia="Calibri" w:hAnsi="Calibri"/>
                <w:color w:val="1A1A1A"/>
                <w:sz w:val="21"/>
                <w:szCs w:val="21"/>
              </w:rPr>
              <w:t xml:space="preserve">la data es simulada y la relación entre la caída de ingresos y la mora existe porque Ivan la sembró. Hay que decirlo en voz alta. Lejos de restar, suma: el visual confirma que el modelo de datos es coherente, y sobre data real el mismo visual sería un hallazgo. Si no se dice y alguien lo nota, se convierte en la pregunta incómoda de la sesión.</w:t>
            </w:r>
          </w:p>
        </w:tc>
      </w:tr>
    </w:tbl>
    <w:p>
      <w:pPr>
        <w:keepNext w:val="false"/>
        <w:spacing w:after="160"/>
      </w:pPr>
    </w:p>
    <w:p>
      <w:pPr>
        <w:pStyle w:val="Heading2"/>
        <w:spacing w:after="100" w:before="280"/>
      </w:pPr>
      <w:r>
        <w:rPr>
          <w:rFonts w:ascii="Calibri" w:cs="Calibri" w:eastAsia="Calibri" w:hAnsi="Calibri"/>
          <w:b/>
          <w:bCs/>
          <w:color w:val="1F4E79"/>
          <w:sz w:val="24"/>
          <w:szCs w:val="24"/>
        </w:rPr>
        <w:t xml:space="preserve">9.4 Los flujos de Power Automate</w:t>
      </w:r>
    </w:p>
    <w:p>
      <w:pPr>
        <w:pStyle w:val="ListParagraph"/>
        <w:numPr>
          <w:ilvl w:val="0"/>
          <w:numId w:val="6"/>
        </w:numPr>
        <w:spacing w:after="70" w:line="276"/>
      </w:pPr>
      <w:r>
        <w:rPr>
          <w:rFonts w:ascii="Calibri" w:cs="Calibri" w:eastAsia="Calibri" w:hAnsi="Calibri"/>
          <w:color w:val="1A1A1A"/>
          <w:sz w:val="21"/>
          <w:szCs w:val="21"/>
        </w:rPr>
        <w:t xml:space="preserve">Llega el correo a una carpeta de Outlook, movido por una regla.</w:t>
      </w:r>
    </w:p>
    <w:p>
      <w:pPr>
        <w:pStyle w:val="ListParagraph"/>
        <w:numPr>
          <w:ilvl w:val="0"/>
          <w:numId w:val="6"/>
        </w:numPr>
        <w:spacing w:after="70" w:line="276"/>
      </w:pPr>
      <w:r>
        <w:rPr>
          <w:rFonts w:ascii="Calibri" w:cs="Calibri" w:eastAsia="Calibri" w:hAnsi="Calibri"/>
          <w:color w:val="1A1A1A"/>
          <w:sz w:val="21"/>
          <w:szCs w:val="21"/>
        </w:rPr>
        <w:t xml:space="preserve">Se convierte el HTML a texto y se pasa todo a minúsculas.</w:t>
      </w:r>
    </w:p>
    <w:p>
      <w:pPr>
        <w:pStyle w:val="ListParagraph"/>
        <w:numPr>
          <w:ilvl w:val="0"/>
          <w:numId w:val="6"/>
        </w:numPr>
        <w:spacing w:after="70" w:line="276"/>
      </w:pPr>
      <w:r>
        <w:rPr>
          <w:rFonts w:ascii="Calibri" w:cs="Calibri" w:eastAsia="Calibri" w:hAnsi="Calibri"/>
          <w:color w:val="1A1A1A"/>
          <w:sz w:val="21"/>
          <w:szCs w:val="21"/>
        </w:rPr>
        <w:t xml:space="preserve">Se clasifica con palabras clave en categorías cerradas: constancia, estado de cuenta, reclamo y otro.</w:t>
      </w:r>
    </w:p>
    <w:p>
      <w:pPr>
        <w:pStyle w:val="ListParagraph"/>
        <w:numPr>
          <w:ilvl w:val="0"/>
          <w:numId w:val="6"/>
        </w:numPr>
        <w:spacing w:after="70" w:line="276"/>
      </w:pPr>
      <w:r>
        <w:rPr>
          <w:rFonts w:ascii="Calibri" w:cs="Calibri" w:eastAsia="Calibri" w:hAnsi="Calibri"/>
          <w:color w:val="1A1A1A"/>
          <w:sz w:val="21"/>
          <w:szCs w:val="21"/>
        </w:rPr>
        <w:t xml:space="preserve">Se verifica la identidad contra el Excel de clientes que dejó el pipeline: el correo del remitente tiene que estar registrado. Si no está, se responde que no está registrado y se guarda el intento. Este paso por sí solo es una demo de seguridad.</w:t>
      </w:r>
    </w:p>
    <w:p>
      <w:pPr>
        <w:pStyle w:val="ListParagraph"/>
        <w:numPr>
          <w:ilvl w:val="0"/>
          <w:numId w:val="6"/>
        </w:numPr>
        <w:spacing w:after="70" w:line="276"/>
      </w:pPr>
      <w:r>
        <w:rPr>
          <w:rFonts w:ascii="Calibri" w:cs="Calibri" w:eastAsia="Calibri" w:hAnsi="Calibri"/>
          <w:color w:val="1A1A1A"/>
          <w:sz w:val="21"/>
          <w:szCs w:val="21"/>
        </w:rPr>
        <w:t xml:space="preserve">Se revisa que ese cliente haya pasado las reglas de calidad. Si está en cuarentena, no se emite nada.</w:t>
      </w:r>
    </w:p>
    <w:p>
      <w:pPr>
        <w:pStyle w:val="ListParagraph"/>
        <w:numPr>
          <w:ilvl w:val="0"/>
          <w:numId w:val="6"/>
        </w:numPr>
        <w:spacing w:after="70" w:line="276"/>
      </w:pPr>
      <w:r>
        <w:rPr>
          <w:rFonts w:ascii="Calibri" w:cs="Calibri" w:eastAsia="Calibri" w:hAnsi="Calibri"/>
          <w:color w:val="1A1A1A"/>
          <w:sz w:val="21"/>
          <w:szCs w:val="21"/>
        </w:rPr>
        <w:t xml:space="preserve">Se arma el estado de cuenta con un código de verificación, se crea en OneDrive, se espera unos segundos y se convierte a PDF.</w:t>
      </w:r>
    </w:p>
    <w:p>
      <w:pPr>
        <w:pStyle w:val="ListParagraph"/>
        <w:numPr>
          <w:ilvl w:val="0"/>
          <w:numId w:val="6"/>
        </w:numPr>
        <w:spacing w:after="70" w:line="276"/>
      </w:pPr>
      <w:r>
        <w:rPr>
          <w:rFonts w:ascii="Calibri" w:cs="Calibri" w:eastAsia="Calibri" w:hAnsi="Calibri"/>
          <w:color w:val="1A1A1A"/>
          <w:sz w:val="21"/>
          <w:szCs w:val="21"/>
        </w:rPr>
        <w:t xml:space="preserve">Se responde con el PDF adjunto y se agrega una fila al registro.</w:t>
      </w:r>
    </w:p>
    <w:p>
      <w:pPr>
        <w:pStyle w:val="ListParagraph"/>
        <w:numPr>
          <w:ilvl w:val="0"/>
          <w:numId w:val="6"/>
        </w:numPr>
        <w:spacing w:after="70" w:line="276"/>
      </w:pPr>
      <w:r>
        <w:rPr>
          <w:rFonts w:ascii="Calibri" w:cs="Calibri" w:eastAsia="Calibri" w:hAnsi="Calibri"/>
          <w:color w:val="1A1A1A"/>
          <w:sz w:val="21"/>
          <w:szCs w:val="21"/>
        </w:rPr>
        <w:t xml:space="preserve">Un segundo disparo, por la mañana, manda al analista la lista priorizada del día.</w:t>
      </w:r>
    </w:p>
    <w:p>
      <w:pPr>
        <w:spacing w:after="120" w:before="0" w:line="276"/>
      </w:pPr>
      <w:r>
        <w:rPr>
          <w:rFonts w:ascii="Calibri" w:cs="Calibri" w:eastAsia="Calibri" w:hAnsi="Calibri"/>
          <w:color w:val="1A1A1A"/>
          <w:sz w:val="21"/>
          <w:szCs w:val="21"/>
        </w:rPr>
        <w:t xml:space="preserve">El flujo de verificación cierra el círculo: el PDF lleva un código y un QR que abre un correo con ese código, el flujo lo busca en el registro y responde si el documento es auténtico. En la demo, alguien del jurado escanea el QR desde su celular.</w:t>
      </w:r>
    </w:p>
    <w:p>
      <w:pPr>
        <w:spacing w:after="120" w:before="0" w:line="276"/>
      </w:pPr>
      <w:r>
        <w:rPr>
          <w:rFonts w:ascii="Calibri" w:cs="Calibri" w:eastAsia="Calibri" w:hAnsi="Calibri"/>
          <w:b/>
          <w:bCs/>
          <w:color w:val="1A1A1A"/>
          <w:sz w:val="21"/>
          <w:szCs w:val="21"/>
        </w:rPr>
        <w:t xml:space="preserve">Conectores usados, todos estándar: </w:t>
      </w:r>
      <w:r>
        <w:rPr>
          <w:rFonts w:ascii="Calibri" w:cs="Calibri" w:eastAsia="Calibri" w:hAnsi="Calibri"/>
          <w:color w:val="1A1A1A"/>
          <w:sz w:val="21"/>
          <w:szCs w:val="21"/>
        </w:rPr>
        <w:t xml:space="preserve">Office 365 Outlook, Excel Online, OneDrive for Business, Content Conversion y Approvals. No se usan HTTP, Word Online «rellenar plantilla», AI Builder ni conectores de base de datos, que son premium.</w:t>
      </w:r>
    </w:p>
    <w:p>
      <w:pPr>
        <w:keepNext w:val="false"/>
        <w:spacing w:after="60"/>
      </w:pPr>
    </w:p>
    <w:tbl>
      <w:tblPr>
        <w:tblW w:type="dxa" w:w="9360"/>
        <w:tblBorders>
          <w:top w:val="none" w:color="FFFFFF" w:sz="0"/>
          <w:left w:val="single" w:color="E0A64A" w:sz="18"/>
          <w:bottom w:val="none" w:color="FFFFFF" w:sz="0"/>
          <w:right w:val="none" w:color="FFFFFF" w:sz="0"/>
          <w:insideH w:val="none" w:color="FFFFFF" w:sz="0"/>
          <w:insideV w:val="none" w:color="FFFFFF" w:sz="0"/>
        </w:tblBorders>
      </w:tblPr>
      <w:tblGrid>
        <w:gridCol w:w="9360"/>
      </w:tblGrid>
      <w:tr>
        <w:tc>
          <w:tcPr>
            <w:tcW w:type="dxa" w:w="9360"/>
            <w:shd w:fill="FFF6E5" w:val="clear"/>
            <w:tcMar>
              <w:top w:type="dxa" w:w="140"/>
              <w:left w:type="dxa" w:w="200"/>
              <w:bottom w:type="dxa" w:w="140"/>
              <w:right w:type="dxa" w:w="200"/>
            </w:tcMar>
          </w:tcPr>
          <w:p>
            <w:pPr>
              <w:spacing w:after="0" w:before="0" w:line="276"/>
            </w:pPr>
            <w:r>
              <w:rPr>
                <w:rFonts w:ascii="Calibri" w:cs="Calibri" w:eastAsia="Calibri" w:hAnsi="Calibri"/>
                <w:b/>
                <w:bCs/>
                <w:color w:val="5A4520"/>
                <w:sz w:val="21"/>
                <w:szCs w:val="21"/>
              </w:rPr>
              <w:t xml:space="preserve">Decirlo en voz alta: </w:t>
            </w:r>
            <w:r>
              <w:rPr>
                <w:rFonts w:ascii="Calibri" w:cs="Calibri" w:eastAsia="Calibri" w:hAnsi="Calibri"/>
                <w:color w:val="1A1A1A"/>
                <w:sz w:val="21"/>
                <w:szCs w:val="21"/>
              </w:rPr>
              <w:t xml:space="preserve">el código de verificación no es una firma digital certificada. En el banco se usaría un certificado de una entidad acreditada; acá demostramos el flujo y la trazabilidad. Reconocerlo antes de que lo pregunten suma, sobre todo con alguien de ciberseguridad en el jurado.</w:t>
            </w:r>
          </w:p>
        </w:tc>
      </w:tr>
    </w:tbl>
    <w:p>
      <w:pPr>
        <w:keepNext w:val="false"/>
        <w:spacing w:after="160"/>
      </w:pPr>
    </w:p>
    <w:p>
      <w:pPr>
        <w:pStyle w:val="Heading2"/>
        <w:spacing w:after="100" w:before="280"/>
      </w:pPr>
      <w:r>
        <w:rPr>
          <w:rFonts w:ascii="Calibri" w:cs="Calibri" w:eastAsia="Calibri" w:hAnsi="Calibri"/>
          <w:b/>
          <w:bCs/>
          <w:color w:val="1F4E79"/>
          <w:sz w:val="24"/>
          <w:szCs w:val="24"/>
        </w:rPr>
        <w:t xml:space="preserve">9.5 Dos piezas que suben el techo del dashboard</w:t>
      </w:r>
    </w:p>
    <w:p>
      <w:pPr>
        <w:spacing w:after="120" w:before="0" w:line="276"/>
      </w:pPr>
      <w:r>
        <w:rPr>
          <w:rFonts w:ascii="Calibri" w:cs="Calibri" w:eastAsia="Calibri" w:hAnsi="Calibri"/>
          <w:color w:val="1A1A1A"/>
          <w:sz w:val="21"/>
          <w:szCs w:val="21"/>
        </w:rPr>
        <w:t xml:space="preserve">Salieron del tiempo que liberó la app al pasar a Ivan. Las dos son nativas de Power BI Desktop, gratis, y las dos se demuestran en vivo.</w:t>
      </w:r>
    </w:p>
    <w:p>
      <w:pPr>
        <w:pStyle w:val="Heading3"/>
        <w:spacing w:after="80" w:before="200"/>
      </w:pPr>
      <w:r>
        <w:rPr>
          <w:rFonts w:ascii="Calibri" w:cs="Calibri" w:eastAsia="Calibri" w:hAnsi="Calibri"/>
          <w:b/>
          <w:bCs/>
          <w:color w:val="333333"/>
          <w:sz w:val="22"/>
          <w:szCs w:val="22"/>
        </w:rPr>
        <w:t xml:space="preserve">Parámetro «¿qué pasaría si?» sobre el roll-rate</w:t>
      </w:r>
    </w:p>
    <w:p>
      <w:pPr>
        <w:spacing w:after="120" w:before="0" w:line="276"/>
      </w:pPr>
      <w:r>
        <w:rPr>
          <w:rFonts w:ascii="Calibri" w:cs="Calibri" w:eastAsia="Calibri" w:hAnsi="Calibri"/>
          <w:color w:val="1A1A1A"/>
          <w:sz w:val="21"/>
          <w:szCs w:val="21"/>
        </w:rPr>
        <w:t xml:space="preserve">Se crea desde Modelado, Nuevo parámetro: un deslizador con los puntos que baja el roll-rate, de 0 a 10. La medida de provisión evitada se recalcula sola contra el saldo en CPP que haya filtrado en pantalla.</w:t>
      </w:r>
    </w:p>
    <w:p>
      <w:pPr>
        <w:pBdr>
          <w:top w:val="single" w:color="F4F4F4" w:sz="2" w:space="6"/>
          <w:bottom w:val="single" w:color="F4F4F4" w:sz="2" w:space="6"/>
          <w:left w:val="single" w:color="F4F4F4" w:sz="2" w:space="6"/>
          <w:right w:val="single" w:color="F4F4F4" w:sz="2" w:space="6"/>
        </w:pBdr>
        <w:shd w:fill="F4F4F4" w:val="clear"/>
        <w:spacing w:after="120" w:before="80" w:line="240"/>
        <w:ind w:left="200" w:right="200"/>
      </w:pPr>
      <w:r>
        <w:rPr>
          <w:rFonts w:ascii="Consolas" w:cs="Consolas" w:eastAsia="Consolas" w:hAnsi="Consolas"/>
          <w:color w:val="1A1A1A"/>
          <w:sz w:val="17"/>
          <w:szCs w:val="17"/>
        </w:rPr>
        <w:t xml:space="preserve">Provision evitada =</w:t>
      </w:r>
      <w:r>
        <w:br/>
      </w:r>
      <w:r>
        <w:rPr>
          <w:rFonts w:ascii="Consolas" w:cs="Consolas" w:eastAsia="Consolas" w:hAnsi="Consolas"/>
          <w:color w:val="1A1A1A"/>
          <w:sz w:val="17"/>
          <w:szCs w:val="17"/>
        </w:rPr>
        <w:t xml:space="preserve">    [Saldo en CPP]</w:t>
      </w:r>
      <w:r>
        <w:br/>
      </w:r>
      <w:r>
        <w:rPr>
          <w:rFonts w:ascii="Consolas" w:cs="Consolas" w:eastAsia="Consolas" w:hAnsi="Consolas"/>
          <w:color w:val="1A1A1A"/>
          <w:sz w:val="17"/>
          <w:szCs w:val="17"/>
        </w:rPr>
        <w:t xml:space="preserve">  * ( SELECTEDVALUE('Puntos roll-rate'[Puntos]) / 100 )</w:t>
      </w:r>
      <w:r>
        <w:br/>
      </w:r>
      <w:r>
        <w:rPr>
          <w:rFonts w:ascii="Consolas" w:cs="Consolas" w:eastAsia="Consolas" w:hAnsi="Consolas"/>
          <w:color w:val="1A1A1A"/>
          <w:sz w:val="17"/>
          <w:szCs w:val="17"/>
        </w:rPr>
        <w:t xml:space="preserve">  * 0.20   -- el salto de provisión CPP (5%) a Deficiente (25%)</w:t>
      </w:r>
    </w:p>
    <w:p>
      <w:pPr>
        <w:spacing w:after="120" w:before="0" w:line="276"/>
      </w:pPr>
      <w:r>
        <w:rPr>
          <w:rFonts w:ascii="Calibri" w:cs="Calibri" w:eastAsia="Calibri" w:hAnsi="Calibri"/>
          <w:color w:val="1A1A1A"/>
          <w:sz w:val="21"/>
          <w:szCs w:val="21"/>
        </w:rPr>
        <w:t xml:space="preserve">Deja de ser una tabla de sensibilidad impresa y pasa a que alguien del jurado mueva el deslizador y vea la plata moverse. Es el momento más fuerte de la presentación y son unos 45 minutos.</w:t>
      </w:r>
    </w:p>
    <w:p>
      <w:pPr>
        <w:pStyle w:val="Heading3"/>
        <w:spacing w:after="80" w:before="200"/>
      </w:pPr>
      <w:r>
        <w:rPr>
          <w:rFonts w:ascii="Calibri" w:cs="Calibri" w:eastAsia="Calibri" w:hAnsi="Calibri"/>
          <w:b/>
          <w:bCs/>
          <w:color w:val="333333"/>
          <w:sz w:val="22"/>
          <w:szCs w:val="22"/>
        </w:rPr>
        <w:t xml:space="preserve">Seguridad por filas en el dashboard</w:t>
      </w:r>
    </w:p>
    <w:p>
      <w:pPr>
        <w:spacing w:after="120" w:before="0" w:line="276"/>
      </w:pPr>
      <w:r>
        <w:rPr>
          <w:rFonts w:ascii="Calibri" w:cs="Calibri" w:eastAsia="Calibri" w:hAnsi="Calibri"/>
          <w:color w:val="1A1A1A"/>
          <w:sz w:val="21"/>
          <w:szCs w:val="21"/>
        </w:rPr>
        <w:t xml:space="preserve">Espeja el RLS que Ivan hizo en la base: se crea un rol desde Modelado, Administrar roles, con un filtro sobre la dimensión de región, y se comprueba con «Ver como rol». El gestor de Lima solo ve su cartera. Media hora, y conecta la capa analítica con la historia de seguridad, que es de las cosas que más valora un jurado de banco.</w:t>
      </w:r>
    </w:p>
    <w:p>
      <w:pPr>
        <w:keepNext w:val="false"/>
        <w:spacing w:after="60"/>
      </w:pPr>
    </w:p>
    <w:tbl>
      <w:tblPr>
        <w:tblW w:type="dxa" w:w="9360"/>
        <w:tblBorders>
          <w:top w:val="none" w:color="FFFFFF" w:sz="0"/>
          <w:left w:val="single" w:color="9DB6CE" w:sz="18"/>
          <w:bottom w:val="none" w:color="FFFFFF" w:sz="0"/>
          <w:right w:val="none" w:color="FFFFFF" w:sz="0"/>
          <w:insideH w:val="none" w:color="FFFFFF" w:sz="0"/>
          <w:insideV w:val="none" w:color="FFFFFF" w:sz="0"/>
        </w:tblBorders>
      </w:tblPr>
      <w:tblGrid>
        <w:gridCol w:w="9360"/>
      </w:tblGrid>
      <w:tr>
        <w:tc>
          <w:tcPr>
            <w:tcW w:type="dxa" w:w="9360"/>
            <w:shd w:fill="F2F5F8" w:val="clear"/>
            <w:tcMar>
              <w:top w:type="dxa" w:w="140"/>
              <w:left w:type="dxa" w:w="200"/>
              <w:bottom w:type="dxa" w:w="140"/>
              <w:right w:type="dxa" w:w="200"/>
            </w:tcMar>
          </w:tcPr>
          <w:p>
            <w:pPr>
              <w:spacing w:after="0" w:before="0" w:line="276"/>
            </w:pPr>
            <w:r>
              <w:rPr>
                <w:rFonts w:ascii="Calibri" w:cs="Calibri" w:eastAsia="Calibri" w:hAnsi="Calibri"/>
                <w:b/>
                <w:bCs/>
                <w:color w:val="1F4E79"/>
                <w:sz w:val="21"/>
                <w:szCs w:val="21"/>
              </w:rPr>
              <w:t xml:space="preserve">Decir en voz alta: </w:t>
            </w:r>
            <w:r>
              <w:rPr>
                <w:rFonts w:ascii="Calibri" w:cs="Calibri" w:eastAsia="Calibri" w:hAnsi="Calibri"/>
                <w:color w:val="1A1A1A"/>
                <w:sz w:val="21"/>
                <w:szCs w:val="21"/>
              </w:rPr>
              <w:t xml:space="preserve">que el filtro por rol en el dashboard no reemplaza al de la base. Son dos capas: si alguien esquiva el dashboard y va a la base, ahí lo detiene el RLS de PostgreSQL. Esa es justamente la idea de seguridad por capas.</w:t>
            </w:r>
          </w:p>
        </w:tc>
      </w:tr>
    </w:tbl>
    <w:p>
      <w:pPr>
        <w:keepNext w:val="false"/>
        <w:spacing w:after="160"/>
      </w:pPr>
    </w:p>
    <w:p>
      <w:pPr>
        <w:spacing w:after="120" w:before="0" w:line="276"/>
      </w:pPr>
      <w:r>
        <w:rPr>
          <w:rFonts w:ascii="Calibri" w:cs="Calibri" w:eastAsia="Calibri" w:hAnsi="Calibri"/>
          <w:b/>
          <w:bCs/>
          <w:color w:val="1A1A1A"/>
          <w:sz w:val="21"/>
          <w:szCs w:val="21"/>
        </w:rPr>
        <w:t xml:space="preserve">Entregables: </w:t>
      </w:r>
      <w:r>
        <w:rPr>
          <w:rFonts w:ascii="Calibri" w:cs="Calibri" w:eastAsia="Calibri" w:hAnsi="Calibri"/>
          <w:color w:val="1A1A1A"/>
          <w:sz w:val="21"/>
          <w:szCs w:val="21"/>
        </w:rPr>
        <w:t xml:space="preserve">el archivo de Power BI con las cinco páginas, los visuales de IA y las medidas documentadas · los tres flujos activos con capturas · el guion y el deck · el video de respaldo.</w:t>
      </w:r>
    </w:p>
    <w:p>
      <w:r>
        <w:br w:type="page"/>
      </w:r>
    </w:p>
    <w:p>
      <w:pPr>
        <w:pStyle w:val="Heading1"/>
        <w:pBdr>
          <w:bottom w:val="single" w:color="BFD3E6" w:sz="6" w:space="6"/>
        </w:pBdr>
        <w:spacing w:after="160" w:before="400"/>
      </w:pPr>
      <w:r>
        <w:rPr>
          <w:rFonts w:ascii="Calibri" w:cs="Calibri" w:eastAsia="Calibri" w:hAnsi="Calibri"/>
          <w:b/>
          <w:bCs/>
          <w:color w:val="1F4E79"/>
          <w:sz w:val="30"/>
          <w:szCs w:val="30"/>
        </w:rPr>
        <w:t xml:space="preserve">10. Calendario y puntos de control</w:t>
      </w:r>
    </w:p>
    <w:p>
      <w:pPr>
        <w:spacing w:after="120" w:before="0" w:line="276"/>
      </w:pPr>
      <w:r>
        <w:rPr>
          <w:rFonts w:ascii="Calibri" w:cs="Calibri" w:eastAsia="Calibri" w:hAnsi="Calibri"/>
          <w:color w:val="1A1A1A"/>
          <w:sz w:val="21"/>
          <w:szCs w:val="21"/>
        </w:rPr>
        <w:t xml:space="preserve">Cada control es una llamada corta a la hora indicada. No es una reunión de avance: es decidir si se puede seguir o si hay que activar un plan B.</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1500"/>
        <w:gridCol w:w="4700"/>
        <w:gridCol w:w="3160"/>
      </w:tblGrid>
      <w:tr>
        <w:trPr>
          <w:tblHeader/>
        </w:trPr>
        <w:tc>
          <w:tcPr>
            <w:tcW w:type="dxa" w:w="15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Cuándo</w:t>
            </w:r>
          </w:p>
        </w:tc>
        <w:tc>
          <w:tcPr>
            <w:tcW w:type="dxa" w:w="47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Qué tiene que estar listo</w:t>
            </w:r>
          </w:p>
        </w:tc>
        <w:tc>
          <w:tcPr>
            <w:tcW w:type="dxa" w:w="31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Si no está</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Sáb 26, 23:00</w:t>
            </w:r>
          </w:p>
        </w:tc>
        <w:tc>
          <w:tcPr>
            <w:tcW w:type="dxa" w:w="4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Contrato de datos publicado · el SQL compila · RDS y S3 creados · Power Automate probado</w:t>
            </w:r>
          </w:p>
        </w:tc>
        <w:tc>
          <w:tcPr>
            <w:tcW w:type="dxa" w:w="31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Si Power Automate está bloqueado se pasa a cuenta personal o a video, y se decide esa noche</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 27, 13:00</w:t>
            </w:r>
          </w:p>
        </w:tc>
        <w:tc>
          <w:tcPr>
            <w:tcW w:type="dxa" w:w="4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 entrega los CSV limpios de la v2</w:t>
            </w:r>
          </w:p>
        </w:tc>
        <w:tc>
          <w:tcPr>
            <w:tcW w:type="dxa" w:w="31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 y Jessi siguen con la maqueta; entrega tope a las 18:00, completa o no</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 27, 22:00</w:t>
            </w:r>
          </w:p>
        </w:tc>
        <w:tc>
          <w:tcPr>
            <w:tcW w:type="dxa" w:w="4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Base cargada · la Lambda de calidad corre · el flujo devuelve un PDF. Y los tres etiquetan las 30 notas (30 min)</w:t>
            </w:r>
          </w:p>
        </w:tc>
        <w:tc>
          <w:tcPr>
            <w:tcW w:type="dxa" w:w="31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Si la Lambda falla, las reglas corren en el notebook y se muestra igual el corte</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 28, 22:00</w:t>
            </w:r>
          </w:p>
        </w:tc>
        <w:tc>
          <w:tcPr>
            <w:tcW w:type="dxa" w:w="4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 punta a punta: el lote RAW se detiene, el limpio llega a Power BI, el correo devuelve el PDF verificable y la lista tiene los motivos clasificados</w:t>
            </w:r>
          </w:p>
        </w:tc>
        <w:tc>
          <w:tcPr>
            <w:tcW w:type="dxa" w:w="31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Lo que no funcione acá pasa a lámina con captura. No se sigue programando</w:t>
            </w:r>
          </w:p>
        </w:tc>
      </w:tr>
      <w:tr>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Mar 29, 15:00</w:t>
            </w:r>
          </w:p>
        </w:tc>
        <w:tc>
          <w:tcPr>
            <w:tcW w:type="dxa" w:w="4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Congelamiento. Nada nuevo: solo videos, láminas y dos ensayos con cronómetro</w:t>
            </w:r>
          </w:p>
        </w:tc>
        <w:tc>
          <w:tcPr>
            <w:tcW w:type="dxa" w:w="31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w:t>
            </w:r>
          </w:p>
        </w:tc>
      </w:tr>
      <w:tr>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Mié 30</w:t>
            </w:r>
          </w:p>
        </w:tc>
        <w:tc>
          <w:tcPr>
            <w:tcW w:type="dxa" w:w="4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Llegar 30 minutos antes: proyector, wifi y un correo de prueba al flujo</w:t>
            </w:r>
          </w:p>
        </w:tc>
        <w:tc>
          <w:tcPr>
            <w:tcW w:type="dxa" w:w="31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Si no hay wifi se reproducen los videos y se sigue el guion</w:t>
            </w:r>
          </w:p>
        </w:tc>
      </w:tr>
    </w:tbl>
    <w:p>
      <w:pPr>
        <w:pStyle w:val="Heading1"/>
        <w:pBdr>
          <w:bottom w:val="single" w:color="BFD3E6" w:sz="6" w:space="6"/>
        </w:pBdr>
        <w:spacing w:after="160" w:before="400"/>
      </w:pPr>
      <w:r>
        <w:rPr>
          <w:rFonts w:ascii="Calibri" w:cs="Calibri" w:eastAsia="Calibri" w:hAnsi="Calibri"/>
          <w:b/>
          <w:bCs/>
          <w:color w:val="1F4E79"/>
          <w:sz w:val="30"/>
          <w:szCs w:val="30"/>
        </w:rPr>
        <w:t xml:space="preserve">11. Cuánto nos va a tomar</w:t>
      </w:r>
    </w:p>
    <w:p>
      <w:pPr>
        <w:spacing w:after="120" w:before="0" w:line="276"/>
      </w:pPr>
      <w:r>
        <w:rPr>
          <w:rFonts w:ascii="Calibri" w:cs="Calibri" w:eastAsia="Calibri" w:hAnsi="Calibri"/>
          <w:color w:val="1A1A1A"/>
          <w:sz w:val="21"/>
          <w:szCs w:val="21"/>
        </w:rPr>
        <w:t xml:space="preserve">Contamos las horas tarea por tarea. Entre el sábado en la noche y el martes hay unas veintitrés horas disponibles por persona.</w:t>
      </w:r>
    </w:p>
    <w:p>
      <w:pPr>
        <w:keepNext w:val="false"/>
        <w:spacing w:after="60"/>
      </w:pPr>
    </w:p>
    <w:tbl>
      <w:tblPr>
        <w:tblW w:type="dxa" w:w="9360"/>
        <w:tblBorders>
          <w:top w:val="none" w:color="FFFFFF" w:sz="0"/>
          <w:left w:val="single" w:color="D98A8D" w:sz="18"/>
          <w:bottom w:val="none" w:color="FFFFFF" w:sz="0"/>
          <w:right w:val="none" w:color="FFFFFF" w:sz="0"/>
          <w:insideH w:val="none" w:color="FFFFFF" w:sz="0"/>
          <w:insideV w:val="none" w:color="FFFFFF" w:sz="0"/>
        </w:tblBorders>
      </w:tblPr>
      <w:tblGrid>
        <w:gridCol w:w="9360"/>
      </w:tblGrid>
      <w:tr>
        <w:tc>
          <w:tcPr>
            <w:tcW w:type="dxa" w:w="9360"/>
            <w:shd w:fill="FBE9E9" w:val="clear"/>
            <w:tcMar>
              <w:top w:type="dxa" w:w="140"/>
              <w:left w:type="dxa" w:w="200"/>
              <w:bottom w:type="dxa" w:w="140"/>
              <w:right w:type="dxa" w:w="200"/>
            </w:tcMar>
          </w:tcPr>
          <w:p>
            <w:pPr>
              <w:spacing w:after="0" w:before="0" w:line="276"/>
            </w:pPr>
            <w:r>
              <w:rPr>
                <w:rFonts w:ascii="Calibri" w:cs="Calibri" w:eastAsia="Calibri" w:hAnsi="Calibri"/>
                <w:b/>
                <w:bCs/>
                <w:color w:val="A1262B"/>
                <w:sz w:val="21"/>
                <w:szCs w:val="21"/>
              </w:rPr>
              <w:t xml:space="preserve">Dos de los tres quedan por encima del límite. </w:t>
            </w:r>
            <w:r>
              <w:rPr>
                <w:rFonts w:ascii="Calibri" w:cs="Calibri" w:eastAsia="Calibri" w:hAnsi="Calibri"/>
                <w:color w:val="1A1A1A"/>
                <w:sz w:val="21"/>
                <w:szCs w:val="21"/>
              </w:rPr>
              <w:t xml:space="preserve">Hay unas veintitrés horas disponibles por persona. Victor queda justo en el límite y Ivan medio día por encima, porque la app le suma lo de conectarla y desplegarla. Jessi es la única con holgura, unas dos horas. Esto hay que resolverlo ahora, no el lunes a medianoche: lo más sano es que ella tome la lámina de arquitectura de Victor y el diccionario de datos de Ivan, y que el lunes a las 22:00 se corte lo que no esté. Ivan además es el único que sabe cuánto tiempo ya gastó en la app, así que ese número tiene que confirmarlo él.</w:t>
            </w:r>
          </w:p>
        </w:tc>
      </w:tr>
    </w:tbl>
    <w:p>
      <w:pPr>
        <w:keepNext w:val="false"/>
        <w:spacing w:after="160"/>
      </w:pP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900"/>
        <w:gridCol w:w="5760"/>
        <w:gridCol w:w="1500"/>
        <w:gridCol w:w="1200"/>
      </w:tblGrid>
      <w:tr>
        <w:trPr>
          <w:tblHeader/>
        </w:trPr>
        <w:tc>
          <w:tcPr>
            <w:tcW w:type="dxa" w:w="9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Quién</w:t>
            </w:r>
          </w:p>
        </w:tc>
        <w:tc>
          <w:tcPr>
            <w:tcW w:type="dxa" w:w="57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Tarea</w:t>
            </w:r>
          </w:p>
        </w:tc>
        <w:tc>
          <w:tcPr>
            <w:tcW w:type="dxa" w:w="15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Cuándo</w:t>
            </w:r>
          </w:p>
        </w:tc>
        <w:tc>
          <w:tcPr>
            <w:tcW w:type="dxa" w:w="12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Horas</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Prueba de 30 minutos de Power Automate en la cuenta de la universidad</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Sáb noche</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Modelo estrella en Power BI, como maqueta con el dataset viejo</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Sáb noche</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Medidas DAX de morosidad y rentabilidad, con la data v2</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Páginas Resumen y Morosidad</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Flujo A: el estado de cuenta por correo</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Páginas Rentabilidad y Calidad de datos</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Página «Por qué esta lista»: concentración, influenciadores y plata</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Los cinco visuales de IA y los sinónimos en español</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Flujo B de verificación y el correo de la mañana</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Parámetro «¿qué pasaría si?» sobre el roll-rate</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0,75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Seguridad por filas en el dashboard, con Ver como rol</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Guion, deck, video de respaldo y ensayos</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Martes</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4,5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Total Jessi</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20,75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Cuenta AWS segura, presupuesto, RDS y buckets S3</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Sáb noche</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Cargar la data v2 en RDS con COPY</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Notebook de extracción a S3 Bronze</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Lambda de calidad: 6 reglas, umbral, cuarentena y corte</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4</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Escribir el prompt del clasificador en sus dos versiones</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Step Functions, disparador y alerta por correo</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Lambda de Gold: modelo estrella y foto mensual a OneDrive</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Pepper a Parameter Store y un rol IAM por Lambda</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1,25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Lambda de Bedrock que clasifica las notas</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1,25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Lambda de ingesta con Function URL para la app de Azure</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Prueba con el lote de 1 M (una corrida, sin repetir), video, lámina y ensayos</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Martes</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Total Victor</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23</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Publicar el contrato de datos en el grupo</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Sáb noche</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Corregir los cuatro bloqueantes y armar las migraciones</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Sáb noche</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Generador v2 limpio: 12 meses, tarjetas, créditos, cuotas, pagos y ledger</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Versión RAW con errores sembrados y su catálogo</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1,75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Las 5 000 notas de gestión de cobranza</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0,75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Las siete pruebas SQL, incluida la de cien concurrentes</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4</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Vista de cartera en riesgo y función de puntaje</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App de cobranza: conectarla a la data real, enganchar los botones al endpoint y desplegarla en Azure</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Script de los «2 segundos», diagrama ER y diccionario</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Videos de respaldo, láminas propias y ensayos</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Martes</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4</w:t>
            </w:r>
          </w:p>
        </w:tc>
      </w:tr>
      <w:tr>
        <w:tc>
          <w:tcPr>
            <w:tcW w:type="dxa" w:w="9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w:r>
          </w:p>
        </w:tc>
        <w:tc>
          <w:tcPr>
            <w:tcW w:type="dxa" w:w="57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Total Ivan</w:t>
            </w:r>
          </w:p>
        </w:tc>
        <w:tc>
          <w:tcPr>
            <w:tcW w:type="dxa" w:w="15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w:r>
          </w:p>
        </w:tc>
        <w:tc>
          <w:tcPr>
            <w:tcW w:type="dxa" w:w="12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23,5</w:t>
            </w:r>
          </w:p>
        </w:tc>
      </w:tr>
      <w:tr>
        <w:tc>
          <w:tcPr>
            <w:tcW w:type="dxa" w:w="9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Los 3</w:t>
            </w:r>
          </w:p>
        </w:tc>
        <w:tc>
          <w:tcPr>
            <w:tcW w:type="dxa" w:w="57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Etiquetar a mano las 30 notas de evaluación</w:t>
            </w:r>
          </w:p>
        </w:tc>
        <w:tc>
          <w:tcPr>
            <w:tcW w:type="dxa" w:w="15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 22:00</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0,5</w:t>
            </w:r>
          </w:p>
        </w:tc>
      </w:tr>
    </w:tbl>
    <w:p>
      <w:pPr>
        <w:keepNext w:val="false"/>
        <w:spacing w:after="100"/>
      </w:pPr>
    </w:p>
    <w:p>
      <w:pPr>
        <w:spacing w:after="120" w:before="0" w:line="276"/>
      </w:pPr>
      <w:r>
        <w:rPr>
          <w:rFonts w:ascii="Calibri" w:cs="Calibri" w:eastAsia="Calibri" w:hAnsi="Calibri"/>
          <w:color w:val="1A1A1A"/>
          <w:sz w:val="21"/>
          <w:szCs w:val="21"/>
        </w:rPr>
        <w:t xml:space="preserve">Y el mismo total, visto por día, que es como conviene mirarlo para saber si un día se está yendo de las manos:</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3360"/>
        <w:gridCol w:w="2000"/>
        <w:gridCol w:w="2000"/>
        <w:gridCol w:w="2000"/>
      </w:tblGrid>
      <w:tr>
        <w:trPr>
          <w:tblHeader/>
        </w:trPr>
        <w:tc>
          <w:tcPr>
            <w:tcW w:type="dxa" w:w="33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Día</w:t>
            </w:r>
          </w:p>
        </w:tc>
        <w:tc>
          <w:tcPr>
            <w:tcW w:type="dxa" w:w="20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Jessi</w:t>
            </w:r>
          </w:p>
        </w:tc>
        <w:tc>
          <w:tcPr>
            <w:tcW w:type="dxa" w:w="20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Victor</w:t>
            </w:r>
          </w:p>
        </w:tc>
        <w:tc>
          <w:tcPr>
            <w:tcW w:type="dxa" w:w="20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Ivan</w:t>
            </w:r>
          </w:p>
        </w:tc>
      </w:tr>
      <w:tr>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Sábado (noche)</w:t>
            </w:r>
          </w:p>
        </w:tc>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 h</w:t>
            </w:r>
          </w:p>
        </w:tc>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 h</w:t>
            </w:r>
          </w:p>
        </w:tc>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3,5 h</w:t>
            </w:r>
          </w:p>
        </w:tc>
      </w:tr>
      <w:tr>
        <w:tc>
          <w:tcPr>
            <w:tcW w:type="dxa" w:w="3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Domingo</w:t>
            </w:r>
          </w:p>
        </w:tc>
        <w:tc>
          <w:tcPr>
            <w:tcW w:type="dxa" w:w="20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6,5 h</w:t>
            </w:r>
          </w:p>
        </w:tc>
        <w:tc>
          <w:tcPr>
            <w:tcW w:type="dxa" w:w="20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7,5 h</w:t>
            </w:r>
          </w:p>
        </w:tc>
        <w:tc>
          <w:tcPr>
            <w:tcW w:type="dxa" w:w="20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7,5 h</w:t>
            </w:r>
          </w:p>
        </w:tc>
      </w:tr>
      <w:tr>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Lunes</w:t>
            </w:r>
          </w:p>
        </w:tc>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7,25 h</w:t>
            </w:r>
          </w:p>
        </w:tc>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9,5 h</w:t>
            </w:r>
          </w:p>
        </w:tc>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8,5 h</w:t>
            </w:r>
          </w:p>
        </w:tc>
      </w:tr>
      <w:tr>
        <w:tc>
          <w:tcPr>
            <w:tcW w:type="dxa" w:w="3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Martes</w:t>
            </w:r>
          </w:p>
        </w:tc>
        <w:tc>
          <w:tcPr>
            <w:tcW w:type="dxa" w:w="20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4,5 h</w:t>
            </w:r>
          </w:p>
        </w:tc>
        <w:tc>
          <w:tcPr>
            <w:tcW w:type="dxa" w:w="20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3,5 h</w:t>
            </w:r>
          </w:p>
        </w:tc>
        <w:tc>
          <w:tcPr>
            <w:tcW w:type="dxa" w:w="20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4 h</w:t>
            </w:r>
          </w:p>
        </w:tc>
      </w:tr>
      <w:tr>
        <w:tc>
          <w:tcPr>
            <w:tcW w:type="dxa" w:w="3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Total</w:t>
            </w:r>
          </w:p>
        </w:tc>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20,75 h</w:t>
            </w:r>
          </w:p>
        </w:tc>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23 h</w:t>
            </w:r>
          </w:p>
        </w:tc>
        <w:tc>
          <w:tcPr>
            <w:tcW w:type="dxa" w:w="20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23,5 h</w:t>
            </w:r>
          </w:p>
        </w:tc>
      </w:tr>
    </w:tbl>
    <w:p>
      <w:pPr>
        <w:keepNext w:val="false"/>
        <w:spacing w:after="100"/>
      </w:pPr>
    </w:p>
    <w:p>
      <w:pPr>
        <w:keepNext w:val="false"/>
        <w:spacing w:after="60"/>
      </w:pPr>
    </w:p>
    <w:tbl>
      <w:tblPr>
        <w:tblW w:type="dxa" w:w="9360"/>
        <w:tblBorders>
          <w:top w:val="none" w:color="FFFFFF" w:sz="0"/>
          <w:left w:val="single" w:color="D98A8D" w:sz="18"/>
          <w:bottom w:val="none" w:color="FFFFFF" w:sz="0"/>
          <w:right w:val="none" w:color="FFFFFF" w:sz="0"/>
          <w:insideH w:val="none" w:color="FFFFFF" w:sz="0"/>
          <w:insideV w:val="none" w:color="FFFFFF" w:sz="0"/>
        </w:tblBorders>
      </w:tblPr>
      <w:tblGrid>
        <w:gridCol w:w="9360"/>
      </w:tblGrid>
      <w:tr>
        <w:tc>
          <w:tcPr>
            <w:tcW w:type="dxa" w:w="9360"/>
            <w:shd w:fill="FBE9E9" w:val="clear"/>
            <w:tcMar>
              <w:top w:type="dxa" w:w="140"/>
              <w:left w:type="dxa" w:w="200"/>
              <w:bottom w:type="dxa" w:w="140"/>
              <w:right w:type="dxa" w:w="200"/>
            </w:tcMar>
          </w:tcPr>
          <w:p>
            <w:pPr>
              <w:spacing w:after="0" w:before="0" w:line="276"/>
            </w:pPr>
            <w:r>
              <w:rPr>
                <w:rFonts w:ascii="Calibri" w:cs="Calibri" w:eastAsia="Calibri" w:hAnsi="Calibri"/>
                <w:b/>
                <w:bCs/>
                <w:color w:val="A1262B"/>
                <w:sz w:val="21"/>
                <w:szCs w:val="21"/>
              </w:rPr>
              <w:t xml:space="preserve">Si nos atrasamos, se cae en este orden: </w:t>
            </w:r>
            <w:r>
              <w:rPr>
                <w:rFonts w:ascii="Calibri" w:cs="Calibri" w:eastAsia="Calibri" w:hAnsi="Calibri"/>
                <w:color w:val="1A1A1A"/>
                <w:sz w:val="21"/>
                <w:szCs w:val="21"/>
              </w:rPr>
              <w:t xml:space="preserve">primero la app de canal en Azure junto con su endpoint, después el clasificador de notas con inteligencia artificial, y después el flujo de verificación con el QR. Nunca el pipeline, nunca la lista de cobranza y nunca las pruebas de integridad. Decidirlo ahora, en frío, evita discutirlo el lunes a medianoche.</w:t>
            </w:r>
          </w:p>
        </w:tc>
      </w:tr>
    </w:tbl>
    <w:p>
      <w:pPr>
        <w:keepNext w:val="false"/>
        <w:spacing w:after="160"/>
      </w:pPr>
    </w:p>
    <w:p>
      <w:pPr>
        <w:pStyle w:val="Heading1"/>
        <w:pBdr>
          <w:bottom w:val="single" w:color="BFD3E6" w:sz="6" w:space="6"/>
        </w:pBdr>
        <w:spacing w:after="160" w:before="400"/>
      </w:pPr>
      <w:r>
        <w:rPr>
          <w:rFonts w:ascii="Calibri" w:cs="Calibri" w:eastAsia="Calibri" w:hAnsi="Calibri"/>
          <w:b/>
          <w:bCs/>
          <w:color w:val="1F4E79"/>
          <w:sz w:val="30"/>
          <w:szCs w:val="30"/>
        </w:rPr>
        <w:t xml:space="preserve">12. Orden de la exposición</w:t>
      </w:r>
    </w:p>
    <w:p>
      <w:pPr>
        <w:spacing w:after="120" w:before="0" w:line="276"/>
      </w:pPr>
      <w:r>
        <w:rPr>
          <w:rFonts w:ascii="Calibri" w:cs="Calibri" w:eastAsia="Calibri" w:hAnsi="Calibri"/>
          <w:color w:val="1A1A1A"/>
          <w:sz w:val="21"/>
          <w:szCs w:val="21"/>
        </w:rPr>
        <w:t xml:space="preserve">El resultado va primero y la maquinaria después, como justificación. Es el cambio que pidió el profesor y no cuesta nada.</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700"/>
        <w:gridCol w:w="6300"/>
        <w:gridCol w:w="2360"/>
      </w:tblGrid>
      <w:tr>
        <w:trPr>
          <w:tblHeader/>
        </w:trPr>
        <w:tc>
          <w:tcPr>
            <w:tcW w:type="dxa" w:w="7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Min</w:t>
            </w:r>
          </w:p>
        </w:tc>
        <w:tc>
          <w:tcPr>
            <w:tcW w:type="dxa" w:w="63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Parte</w:t>
            </w:r>
          </w:p>
        </w:tc>
        <w:tc>
          <w:tcPr>
            <w:tcW w:type="dxa" w:w="23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Quién</w:t>
            </w:r>
          </w:p>
        </w:tc>
      </w:tr>
      <w:tr>
        <w:tc>
          <w:tcPr>
            <w:tcW w:type="dxa" w:w="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c>
          <w:tcPr>
            <w:tcW w:type="dxa" w:w="6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problema: la mora que rueda y el costo de llamar a quien no corresponde</w:t>
            </w:r>
          </w:p>
        </w:tc>
        <w:tc>
          <w:tcPr>
            <w:tcW w:type="dxa" w:w="2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r>
      <w:tr>
        <w:tc>
          <w:tcPr>
            <w:tcW w:type="dxa" w:w="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w:t>
            </w:r>
          </w:p>
        </w:tc>
        <w:tc>
          <w:tcPr>
            <w:tcW w:type="dxa" w:w="6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lista de mañana: la app con los casos del día, y el correo llegando al analista</w:t>
            </w:r>
          </w:p>
        </w:tc>
        <w:tc>
          <w:tcPr>
            <w:tcW w:type="dxa" w:w="2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 presenta, Ivan opera</w:t>
            </w:r>
          </w:p>
        </w:tc>
      </w:tr>
      <w:tr>
        <w:tc>
          <w:tcPr>
            <w:tcW w:type="dxa" w:w="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w:t>
            </w:r>
          </w:p>
        </w:tc>
        <w:tc>
          <w:tcPr>
            <w:tcW w:type="dxa" w:w="6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La app de cobranza: el gestor registra la nota y sale hacia AWS</w:t>
            </w:r>
          </w:p>
        </w:tc>
        <w:tc>
          <w:tcPr>
            <w:tcW w:type="dxa" w:w="2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r>
      <w:tr>
        <w:tc>
          <w:tcPr>
            <w:tcW w:type="dxa" w:w="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3,5</w:t>
            </w:r>
          </w:p>
        </w:tc>
        <w:tc>
          <w:tcPr>
            <w:tcW w:type="dxa" w:w="6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 qué se puede confiar en esa lista: el pipeline, el corte y la cuarentena. Acá va la frase de los 412 créditos</w:t>
            </w:r>
          </w:p>
        </w:tc>
        <w:tc>
          <w:tcPr>
            <w:tcW w:type="dxa" w:w="2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r>
      <w:tr>
        <w:tc>
          <w:tcPr>
            <w:tcW w:type="dxa" w:w="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w:t>
            </w:r>
          </w:p>
        </w:tc>
        <w:tc>
          <w:tcPr>
            <w:tcW w:type="dxa" w:w="6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Esa misma nota llegando a AWS, clasificada por la IA, y el costo de la corrida</w:t>
            </w:r>
          </w:p>
        </w:tc>
        <w:tc>
          <w:tcPr>
            <w:tcW w:type="dxa" w:w="2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Victor</w:t>
            </w:r>
          </w:p>
        </w:tc>
      </w:tr>
      <w:tr>
        <w:tc>
          <w:tcPr>
            <w:tcW w:type="dxa" w:w="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2,5</w:t>
            </w:r>
          </w:p>
        </w:tc>
        <w:tc>
          <w:tcPr>
            <w:tcW w:type="dxa" w:w="6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 qué el dato está bien desde el origen: ledger, idempotencia, concurrencia, RLS y los «2 segundos»</w:t>
            </w:r>
          </w:p>
        </w:tc>
        <w:tc>
          <w:tcPr>
            <w:tcW w:type="dxa" w:w="2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r>
      <w:tr>
        <w:tc>
          <w:tcPr>
            <w:tcW w:type="dxa" w:w="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c>
          <w:tcPr>
            <w:tcW w:type="dxa" w:w="6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Cuánto vale: el deslizador del roll-rate moviendo la provisión evitada en vivo</w:t>
            </w:r>
          </w:p>
        </w:tc>
        <w:tc>
          <w:tcPr>
            <w:tcW w:type="dxa" w:w="2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Jessi</w:t>
            </w:r>
          </w:p>
        </w:tc>
      </w:tr>
      <w:tr>
        <w:tc>
          <w:tcPr>
            <w:tcW w:type="dxa" w:w="7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c>
          <w:tcPr>
            <w:tcW w:type="dxa" w:w="63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Cómo lo operaríamos en IBK: rol por app, cortar primero, los dos pases, rollback</w:t>
            </w:r>
          </w:p>
        </w:tc>
        <w:tc>
          <w:tcPr>
            <w:tcW w:type="dxa" w:w="23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Ivan</w:t>
            </w:r>
          </w:p>
        </w:tc>
      </w:tr>
      <w:tr>
        <w:tc>
          <w:tcPr>
            <w:tcW w:type="dxa" w:w="7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15</w:t>
            </w:r>
          </w:p>
        </w:tc>
        <w:tc>
          <w:tcPr>
            <w:tcW w:type="dxa" w:w="63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Total sin preguntas</w:t>
            </w:r>
          </w:p>
        </w:tc>
        <w:tc>
          <w:tcPr>
            <w:tcW w:type="dxa" w:w="23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
            </w:r>
          </w:p>
        </w:tc>
      </w:tr>
    </w:tbl>
    <w:p>
      <w:pPr>
        <w:pStyle w:val="Heading1"/>
        <w:pBdr>
          <w:bottom w:val="single" w:color="BFD3E6" w:sz="6" w:space="6"/>
        </w:pBdr>
        <w:spacing w:after="160" w:before="400"/>
      </w:pPr>
      <w:r>
        <w:rPr>
          <w:rFonts w:ascii="Calibri" w:cs="Calibri" w:eastAsia="Calibri" w:hAnsi="Calibri"/>
          <w:b/>
          <w:bCs/>
          <w:color w:val="1F4E79"/>
          <w:sz w:val="30"/>
          <w:szCs w:val="30"/>
        </w:rPr>
        <w:t xml:space="preserve">13. Las preguntas que van a hacer</w:t>
      </w:r>
    </w:p>
    <w:p>
      <w:pPr>
        <w:keepNext/>
        <w:spacing w:after="60"/>
      </w:pPr>
    </w:p>
    <w:tbl>
      <w:tblPr>
        <w:tblW w:type="dxa" w:w="9360"/>
        <w:tblBorders>
          <w:top w:val="single" w:color="C9D4E0" w:sz="2"/>
          <w:left w:val="none" w:color="FFFFFF" w:sz="0"/>
          <w:bottom w:val="single" w:color="C9D4E0" w:sz="2"/>
          <w:right w:val="none" w:color="FFFFFF" w:sz="0"/>
          <w:insideH w:val="single" w:color="DCE4EC" w:sz="2"/>
          <w:insideV w:val="none" w:color="FFFFFF" w:sz="0"/>
        </w:tblBorders>
      </w:tblPr>
      <w:tblGrid>
        <w:gridCol w:w="3400"/>
        <w:gridCol w:w="5960"/>
      </w:tblGrid>
      <w:tr>
        <w:trPr>
          <w:tblHeader/>
        </w:trPr>
        <w:tc>
          <w:tcPr>
            <w:tcW w:type="dxa" w:w="340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Pregunta</w:t>
            </w:r>
          </w:p>
        </w:tc>
        <w:tc>
          <w:tcPr>
            <w:tcW w:type="dxa" w:w="5960"/>
            <w:shd w:fill="1F4E79" w:val="clear"/>
            <w:tcMar>
              <w:top w:type="dxa" w:w="70"/>
              <w:left w:type="dxa" w:w="110"/>
              <w:bottom w:type="dxa" w:w="70"/>
              <w:right w:type="dxa" w:w="110"/>
            </w:tcMar>
          </w:tcPr>
          <w:p>
            <w:pPr>
              <w:spacing w:after="0" w:before="0" w:line="240"/>
            </w:pPr>
            <w:r>
              <w:rPr>
                <w:rFonts w:ascii="Calibri" w:cs="Calibri" w:eastAsia="Calibri" w:hAnsi="Calibri"/>
                <w:b/>
                <w:bCs/>
                <w:color w:val="FFFFFF"/>
                <w:sz w:val="19"/>
                <w:szCs w:val="19"/>
              </w:rPr>
              <w:t xml:space="preserve">Respuesta corta</w:t>
            </w:r>
          </w:p>
        </w:tc>
      </w:tr>
      <w:tr>
        <w:tc>
          <w:tcPr>
            <w:tcW w:type="dxa" w:w="3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¿Esto no lo hace ya el banco?</w:t>
            </w:r>
          </w:p>
        </w:tc>
        <w:tc>
          <w:tcPr>
            <w:tcW w:type="dxa" w:w="59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Sí, existe cobranza. Lo que agregamos es la priorización por saldo en riesgo y el filtro de calidad: hoy se llama con lo que haya en la base</w:t>
            </w:r>
          </w:p>
        </w:tc>
      </w:tr>
      <w:tr>
        <w:tc>
          <w:tcPr>
            <w:tcW w:type="dxa" w:w="3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 qué reglas y no un modelo entrenado?</w:t>
            </w:r>
          </w:p>
        </w:tc>
        <w:tc>
          <w:tcPr>
            <w:tcW w:type="dxa" w:w="59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Porque una decisión de cobranza hay que poder explicarla al cliente y al regulador. Los pesos se calibran con la historia del banco; la estructura se mantiene auditable</w:t>
            </w:r>
          </w:p>
        </w:tc>
      </w:tr>
      <w:tr>
        <w:tc>
          <w:tcPr>
            <w:tcW w:type="dxa" w:w="3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¿De dónde sale el 20 %?</w:t>
            </w:r>
          </w:p>
        </w:tc>
        <w:tc>
          <w:tcPr>
            <w:tcW w:type="dxa" w:w="59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Es la diferencia entre la provisión de CPP, 5 %, y la de Deficiente, 25 %, según la resolución de la SBS</w:t>
            </w:r>
          </w:p>
        </w:tc>
      </w:tr>
      <w:tr>
        <w:tc>
          <w:tcPr>
            <w:tcW w:type="dxa" w:w="3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¿Y si el dato en cuarentena es del cliente que más debe?</w:t>
            </w:r>
          </w:p>
        </w:tc>
        <w:tc>
          <w:tcPr>
            <w:tcW w:type="dxa" w:w="59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Se escala a gobierno de datos con prioridad. Excluirlo no es olvidarlo: es no actuar a ciegas sobre él</w:t>
            </w:r>
          </w:p>
        </w:tc>
      </w:tr>
      <w:tr>
        <w:tc>
          <w:tcPr>
            <w:tcW w:type="dxa" w:w="3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¿Cuánto le ahorraría a Interbank?</w:t>
            </w:r>
          </w:p>
        </w:tc>
        <w:tc>
          <w:tcPr>
            <w:tcW w:type="dxa" w:w="59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Con nuestra cartera simulada da un número que no es extrapolable. Entregamos la consulta: corrida sobre la cartera real, da la cifra real</w:t>
            </w:r>
          </w:p>
        </w:tc>
      </w:tr>
      <w:tr>
        <w:tc>
          <w:tcPr>
            <w:tcW w:type="dxa" w:w="3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¿Cómo saben que funciona?</w:t>
            </w:r>
          </w:p>
        </w:tc>
        <w:tc>
          <w:tcPr>
            <w:tcW w:type="dxa" w:w="59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No lo sabemos todavía. Se prueba con un A/B a treinta días, y así es como lo mediríamos</w:t>
            </w:r>
          </w:p>
        </w:tc>
      </w:tr>
      <w:tr>
        <w:tc>
          <w:tcPr>
            <w:tcW w:type="dxa" w:w="3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 qué no usaron IA para todo?</w:t>
            </w:r>
          </w:p>
        </w:tc>
        <w:tc>
          <w:tcPr>
            <w:tcW w:type="dxa" w:w="59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Porque para calcular días de mora y priorizar por saldo, una consulta SQL es más barata, más rápida y auditable. Para leer cinco mil notas escritas a mano no hay consulta que sirva. Saber cuál usar en cada sitio es el punto</w:t>
            </w:r>
          </w:p>
        </w:tc>
      </w:tr>
      <w:tr>
        <w:tc>
          <w:tcPr>
            <w:tcW w:type="dxa" w:w="3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 qué la app en Azure y el resto en AWS?</w:t>
            </w:r>
          </w:p>
        </w:tc>
        <w:tc>
          <w:tcPr>
            <w:tcW w:type="dxa" w:w="59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Porque es como trabaja el banco: la analítica y los datos en AWS, y Azure para lo demás. El canal entrega su evento a la capa de ingesta y de ahí sigue el mismo camino que cualquier otro dato</w:t>
            </w:r>
          </w:p>
        </w:tc>
      </w:tr>
      <w:tr>
        <w:tc>
          <w:tcPr>
            <w:tcW w:type="dxa" w:w="340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¿El endpoint no es un riesgo?</w:t>
            </w:r>
          </w:p>
        </w:tc>
        <w:tc>
          <w:tcPr>
            <w:tcW w:type="dxa" w:w="5960"/>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 eso escribe en el lago y no en la base: no puede mover saldos ni tocar el ledger. Lleva clave, valida el contenido y tiene tope de tamaño. En producción iría detrás de un API Gateway con autenticación del banco</w:t>
            </w:r>
          </w:p>
        </w:tc>
      </w:tr>
      <w:tr>
        <w:tc>
          <w:tcPr>
            <w:tcW w:type="dxa" w:w="340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¿Por qué no está en la nube el dashboard?</w:t>
            </w:r>
          </w:p>
        </w:tc>
        <w:tc>
          <w:tcPr>
            <w:tcW w:type="dxa" w:w="5960"/>
            <w:shd w:fill="F7F9FB" w:val="clear"/>
            <w:tcMar>
              <w:top w:type="dxa" w:w="70"/>
              <w:left w:type="dxa" w:w="110"/>
              <w:bottom w:type="dxa" w:w="70"/>
              <w:right w:type="dxa" w:w="110"/>
            </w:tcMar>
          </w:tcPr>
          <w:p>
            <w:pPr>
              <w:spacing w:after="0" w:before="0" w:line="240"/>
            </w:pPr>
            <w:r>
              <w:rPr>
                <w:rFonts w:ascii="Calibri" w:cs="Calibri" w:eastAsia="Calibri" w:hAnsi="Calibri"/>
                <w:color w:val="1A1A1A"/>
                <w:sz w:val="19"/>
                <w:szCs w:val="19"/>
              </w:rPr>
              <w:t xml:space="preserve">Va en modo Import a propósito, para no depender del wifi de la sala. En producción se publicaría en el servicio con actualización programada</w:t>
            </w:r>
          </w:p>
        </w:tc>
      </w:tr>
    </w:tbl>
    <w:p>
      <w:pPr>
        <w:keepNext w:val="false"/>
        <w:spacing w:after="160"/>
      </w:pPr>
    </w:p>
    <w:tbl>
      <w:tblPr>
        <w:tblW w:type="dxa" w:w="9360"/>
        <w:tblBorders>
          <w:top w:val="none" w:color="FFFFFF" w:sz="0"/>
          <w:left w:val="single" w:color="72BFA0" w:sz="18"/>
          <w:bottom w:val="none" w:color="FFFFFF" w:sz="0"/>
          <w:right w:val="none" w:color="FFFFFF" w:sz="0"/>
          <w:insideH w:val="none" w:color="FFFFFF" w:sz="0"/>
          <w:insideV w:val="none" w:color="FFFFFF" w:sz="0"/>
        </w:tblBorders>
      </w:tblPr>
      <w:tblGrid>
        <w:gridCol w:w="9360"/>
      </w:tblGrid>
      <w:tr>
        <w:tc>
          <w:tcPr>
            <w:tcW w:type="dxa" w:w="9360"/>
            <w:shd w:fill="E8F5EE" w:val="clear"/>
            <w:tcMar>
              <w:top w:type="dxa" w:w="140"/>
              <w:left w:type="dxa" w:w="200"/>
              <w:bottom w:type="dxa" w:w="140"/>
              <w:right w:type="dxa" w:w="200"/>
            </w:tcMar>
          </w:tcPr>
          <w:p>
            <w:pPr>
              <w:spacing w:after="0" w:before="0" w:line="276"/>
            </w:pPr>
            <w:r>
              <w:rPr>
                <w:rFonts w:ascii="Calibri" w:cs="Calibri" w:eastAsia="Calibri" w:hAnsi="Calibri"/>
                <w:b/>
                <w:bCs/>
                <w:color w:val="1E7F66"/>
                <w:sz w:val="21"/>
                <w:szCs w:val="21"/>
              </w:rPr>
              <w:t xml:space="preserve">En una línea, por si preguntan de qué trata el proyecto: </w:t>
            </w:r>
            <w:r>
              <w:rPr>
                <w:rFonts w:ascii="Calibri" w:cs="Calibri" w:eastAsia="Calibri" w:hAnsi="Calibri"/>
                <w:color w:val="1A1A1A"/>
                <w:sz w:val="21"/>
                <w:szCs w:val="21"/>
              </w:rPr>
              <w:t xml:space="preserve">construimos la plataforma que le dice al banco, cada mañana, a quién llamar hoy para que su mora no ruede, y que sabe cuándo no tiene derecho a llamar porque el dato no está confirmado.</w:t>
            </w:r>
          </w:p>
        </w:tc>
      </w:tr>
    </w:tbl>
    <w:p>
      <w:pPr>
        <w:keepNext w:val="false"/>
        <w:spacing w:after="200"/>
      </w:pPr>
    </w:p>
    <w:p>
      <w:pPr>
        <w:spacing w:after="120" w:before="0" w:line="276"/>
      </w:pPr>
      <w:r>
        <w:rPr>
          <w:rFonts w:ascii="Calibri" w:cs="Calibri" w:eastAsia="Calibri" w:hAnsi="Calibri"/>
          <w:color w:val="555555"/>
          <w:sz w:val="18"/>
          <w:szCs w:val="18"/>
        </w:rPr>
        <w:t xml:space="preserve">Fuentes de las cifras: SBS, Resolución 11356-2008 (tasas de provisión) y Anexo informativo del Reporte de Deudas (categorías por días de atraso). Precios de Amazon Bedrock y requisitos de acceso a modelos, documentación oficial de AWS. Límites de licencia de Power Automate y Power Apps, documentación de licenciamiento de Microsoft Power Platform. Todo verificado el 26 de septiembre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F4E79"/>
      </w:rPr>
    </w:lvl>
  </w:abstractNum>
  <w:abstractNum w:abstractNumId="3" w15:restartNumberingAfterBreak="0">
    <w:multiLevelType w:val="hybridMultilevel"/>
    <w:lvl w:ilvl="0" w15:tentative="1">
      <w:start w:val="1"/>
      <w:numFmt w:val="decimal"/>
      <w:lvlText w:val="%1."/>
      <w:lvlJc w:val="left"/>
      <w:pPr>
        <w:ind w:left="400" w:hanging="240"/>
      </w:pPr>
      <w:rPr>
        <w:b/>
        <w:bCs/>
        <w:color w:val="1F4E79"/>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cb48311df0d8f8cac3336b73c2e10a3c48ad5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Integrador — Guía final</dc:title>
  <dc:creator>Equipo BancoCloud</dc:creator>
  <cp:lastModifiedBy>Un-named</cp:lastModifiedBy>
  <cp:revision>1</cp:revision>
  <dcterms:created xsi:type="dcterms:W3CDTF">2026-09-27T22:12:11.581Z</dcterms:created>
  <dcterms:modified xsi:type="dcterms:W3CDTF">2026-09-27T22:12:11.581Z</dcterms:modified>
</cp:coreProperties>
</file>

<file path=docProps/custom.xml><?xml version="1.0" encoding="utf-8"?>
<Properties xmlns="http://schemas.openxmlformats.org/officeDocument/2006/custom-properties" xmlns:vt="http://schemas.openxmlformats.org/officeDocument/2006/docPropsVTypes"/>
</file>