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A77B3E">
      <w:pPr>
        <w:rPr>
          <w:rFonts w:ascii="微软雅黑" w:eastAsia="微软雅黑" w:hAnsi="微软雅黑" w:cs="微软雅黑"/>
          <w:b/>
          <w:color w:val="000000"/>
          <w:sz w:val="30"/>
        </w:rPr>
      </w:pPr>
      <w:r>
        <w:rPr>
          <w:rFonts w:ascii="微软雅黑" w:eastAsia="微软雅黑" w:hAnsi="微软雅黑" w:cs="微软雅黑"/>
          <w:b/>
          <w:color w:val="000000"/>
          <w:sz w:val="30"/>
        </w:rPr>
        <w:t>新生代：地球的新时代</w:t>
      </w:r>
    </w:p>
    <w:p w:rsidR="00A77B3E">
      <w:pPr>
        <w:rPr>
          <w:rFonts w:ascii="微软雅黑" w:eastAsia="微软雅黑" w:hAnsi="微软雅黑" w:cs="微软雅黑"/>
          <w:b/>
          <w:color w:val="000000"/>
          <w:sz w:val="30"/>
        </w:rPr>
      </w:pP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地质特征与运动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构造阶段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早期活跃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新生代早期古地中海地槽与环太平洋地槽进入活跃期，引发大规模海侵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欧洲和亚洲部分地区发现的海相沉积层是海侵的有力证据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海侵对生物分布和演化产生了深远影响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晚期褶皱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距今3000万年的喜山运动使古地中海地区发生褶皱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形成喜马拉雅山脉和阿尔卑斯山脉等高大山脉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山脉的崛起改变了地貌并对全球气候产生了显著影响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第四纪持续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第四纪时期喜马拉雅山脉和青藏高原持续抬升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抬升塑造了亚洲的地貌格局并影响气候和水系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形成独特的生态系统，影响了生物分布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气候变化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早第三纪分带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早第三纪气候分带明显，从热带到寒带均有分布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通过对沉积物、孢粉化石和古土壤的分析，科学家推断出当时的气候类型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当时的气候呈现出多样化的特点，植被分布广泛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晚第三纪相似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晚第三纪气候分带接近现代，西风带逐渐形成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气候系统向现代过渡，植被分布和生物演化受到影响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地球气候逐渐稳定，生态系统进一步发展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第四纪波动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第四纪冰期与间冰期频繁交替，海平面随之升降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冰期时大量水分封存于冰川，导致海平面下降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间冰期冰川融化，海平面上升，影响生物生存和分布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新生代植物区系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形成背景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晚白垩世被子植物迅速兴起，逐渐取代裸子植物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被子植物具有更高效的繁殖和适应能力，成为陆地植物主导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松柏类等裸子植物在特殊环境中仍占据重要地位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分布范围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泛北极区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新生代早期泛北极区气候温暖湿润，植物广泛分布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气候变冷后植物向南迁移，如银杏仅在中国部分地区有野生种群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植物对气候变化的响应体现在其分布变化中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古热带区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新生代古热带区热带植物分布范围发生显著变化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一些植物种类随着板块运动和气候变化扩展到其他地区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促进了不同植物区系之间的交流和融合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新热带区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始新世新热带区热带植物极为丰富，形成独特植物群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植物群迁移与板块运动、气候变化及生物竞争相关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植物群的变化反映了生态系统的动态调整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南极区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南极区在特定时期有独特植物分布，如南极蕨类植物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植物的存在反映了当时南极地区相对温暖的气候条件</w:t>
      </w:r>
    </w:p>
    <w:p w:rsidR="00A77B3E">
      <w:pPr>
        <w:numPr>
          <w:ilvl w:val="4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为研究南极古气候和古生态提供重要依据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物种变化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第四纪冰期影响植物分布，北方植物向南迁移，山区植物向低海拔地区移动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气候变化导致部分植物物种灭绝和新物种形成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植物分布格局的变化进一步影响了生态系统的结构和功能</w:t>
      </w: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新生代动物发展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哺乳动物崛起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中生代爬行动物灭绝后，哺乳动物迎来大发展机遇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哺乳动物迅速适应各种生态环境，体型和形态多样化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逐渐成为陆地生态系统的主导生物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各时期动物特点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第三纪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古新世至渐新世森林覆盖广泛，为哺乳动物祖先提供生存环境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始祖马等小型哺乳动物适应森林生活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中新世和上新世草原动物逐渐繁盛，犀牛、古象等大型草食动物数量大增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第四纪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冰期影响下，动物地理现象逐渐形成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一些动物进化出厚毛、脂肪层等适应特征</w:t>
      </w:r>
    </w:p>
    <w:p w:rsidR="00A77B3E">
      <w:pPr>
        <w:numPr>
          <w:ilvl w:val="3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人类出现并发展，对动物生存和分布产生深远影响</w:t>
      </w: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海陆变迁历程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早期海陆格局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新生代开始时海陆分布与现代有很大差异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非洲与南美洲尚未完全分离，印度还在向亚洲大陆漂移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大陆的位置和形状变化对海洋环流和气候产生重要影响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大陆漂移与碰撞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始新世印度板块与亚洲大陆发生碰撞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喜马拉雅山脉在200-300万年前迅速耸起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阿尔卑斯山、落基山等山脉同期或稍早时期升起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现代海陆形成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各大陆不断漂移、碰撞，逐渐形成现今海陆分布格局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海洋盆地的形态和位置发生变化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对海洋生态系统和全球气候产生重要影响</w:t>
      </w:r>
    </w:p>
    <w:p w:rsidR="00A77B3E">
      <w:pPr>
        <w:numPr>
          <w:ilvl w:val="0"/>
          <w:numId w:val="1"/>
        </w:numPr>
        <w:spacing w:line="360" w:lineRule="auto"/>
        <w:jc w:val="left"/>
        <w:rPr>
          <w:rFonts w:ascii="微软雅黑" w:eastAsia="微软雅黑" w:hAnsi="微软雅黑" w:cs="微软雅黑"/>
          <w:b/>
          <w:color w:val="000000"/>
          <w:sz w:val="24"/>
        </w:rPr>
      </w:pPr>
      <w:r>
        <w:rPr>
          <w:rFonts w:ascii="微软雅黑" w:eastAsia="微软雅黑" w:hAnsi="微软雅黑" w:cs="微软雅黑"/>
          <w:b/>
          <w:color w:val="000000"/>
          <w:sz w:val="24"/>
        </w:rPr>
        <w:t>新生代的重要意义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地质矿产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新生代是铜、金、银等多种重要矿种的主要成矿期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板块运动和火山活动导致矿物质被带到地表形成矿床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这一时期也是石油、天然气、煤炭等能源矿床的重要形成期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生物演化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新生代植物与动物的演化发展奠定了现代生态系统的基础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生物之间的相互关系不断调整，形成复杂的食物链和生态网络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生态系统平衡和稳定得以维持</w:t>
      </w:r>
    </w:p>
    <w:p w:rsidR="00A77B3E">
      <w:pPr>
        <w:numPr>
          <w:ilvl w:val="1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地貌塑造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新生代强烈的造山运动塑造了现代地貌，如山脉、高原、平原等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  <w:r>
        <w:rPr>
          <w:rFonts w:ascii="微软雅黑" w:eastAsia="微软雅黑" w:hAnsi="微软雅黑" w:cs="微软雅黑"/>
          <w:b w:val="0"/>
          <w:color w:val="000000"/>
          <w:sz w:val="21"/>
        </w:rPr>
        <w:t>地貌的形成影响了当地气候和生态环境</w:t>
      </w:r>
    </w:p>
    <w:p w:rsidR="00A77B3E">
      <w:pPr>
        <w:numPr>
          <w:ilvl w:val="2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</w:p>
    <w:p w:rsidR="00A77B3E">
      <w:pPr>
        <w:numPr>
          <w:ilvl w:val="0"/>
          <w:numId w:val="1"/>
        </w:numPr>
        <w:spacing w:line="300" w:lineRule="auto"/>
        <w:jc w:val="left"/>
        <w:rPr>
          <w:rFonts w:ascii="微软雅黑" w:eastAsia="微软雅黑" w:hAnsi="微软雅黑" w:cs="微软雅黑"/>
          <w:b w:val="0"/>
          <w:color w:val="000000"/>
          <w:sz w:val="21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numbering" Target="numbering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