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62f762dfe6f763ebdbe6b4852a2030fdfb95b6"/>
    <w:p>
      <w:pPr>
        <w:pStyle w:val="Heading1"/>
      </w:pPr>
      <w:r>
        <w:t xml:space="preserve">NutriApp: acceso al sistema y al material adicional</w:t>
      </w:r>
    </w:p>
    <w:p>
      <w:pPr>
        <w:pStyle w:val="FirstParagraph"/>
      </w:pPr>
      <w:r>
        <w:t xml:space="preserve">Trabajo de Fin de Grado. Desarrollo de una Plataforma Web Inteligente para Nutricionistas.</w:t>
      </w:r>
      <w:r>
        <w:t xml:space="preserve"> </w:t>
      </w:r>
      <w:r>
        <w:t xml:space="preserve">Autor: Víctor Martínez Blanco. Directores: Alejandro Hernández Cerezo y Pablo Gutiérrez Sánchez.</w:t>
      </w:r>
      <w:r>
        <w:t xml:space="preserve"> </w:t>
      </w:r>
      <w:r>
        <w:t xml:space="preserve">Doble Grado en Ingeniería Informática y ADE, Facultad de Informática, Universidad Complutense de Madrid. Septiembre de 2026.</w:t>
      </w:r>
    </w:p>
    <w:bookmarkStart w:id="9" w:name="sistema-desplegado"/>
    <w:p>
      <w:pPr>
        <w:pStyle w:val="Heading2"/>
      </w:pPr>
      <w:r>
        <w:t xml:space="preserve">Sistema desplegado</w:t>
      </w:r>
    </w:p>
    <w:p>
      <w:pPr>
        <w:pStyle w:val="Compact"/>
        <w:numPr>
          <w:ilvl w:val="0"/>
          <w:numId w:val="1001"/>
        </w:numPr>
      </w:pPr>
      <w:r>
        <w:t xml:space="preserve">Aplicación web (frontend, Netlify): https://nutriapp-tfg.netlify.app</w:t>
      </w:r>
    </w:p>
    <w:p>
      <w:pPr>
        <w:pStyle w:val="Compact"/>
        <w:numPr>
          <w:ilvl w:val="0"/>
          <w:numId w:val="1001"/>
        </w:numPr>
      </w:pPr>
      <w:r>
        <w:t xml:space="preserve">API del motor de generación (backend, Render, Fráncfort): https://tfg-nutriapp.onrender.com (comprobación de estado en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el plan gratuito de Render tarda unos 20 segundos en despertar tras un rato sin uso).</w:t>
      </w:r>
    </w:p>
    <w:p>
      <w:pPr>
        <w:pStyle w:val="Compact"/>
        <w:numPr>
          <w:ilvl w:val="0"/>
          <w:numId w:val="1001"/>
        </w:numPr>
      </w:pPr>
      <w:r>
        <w:t xml:space="preserve">Base de datos: Supabase (PostgreSQL, Fráncfort). Solo accesible a través de la aplicación y de la API.</w:t>
      </w:r>
    </w:p>
    <w:p>
      <w:pPr>
        <w:pStyle w:val="FirstParagraph"/>
      </w:pPr>
      <w:r>
        <w:t xml:space="preserve">Las credenciales de las cuentas de prueba (un nutricionista y un cliente de demostración) se envían por canal aparte; no figuran en este documento ni en el código.</w:t>
      </w:r>
    </w:p>
    <w:p>
      <w:pPr>
        <w:pStyle w:val="BodyText"/>
      </w:pPr>
      <w:r>
        <w:t xml:space="preserve">La generación con inteligencia artificial depende de un worker que ejecuta el modelo de lenguaje en local (Ollama) por la razón que explica la memoria: que los datos clínicos no salgan del sistema. Si el worker no está encendido en el momento de la prueba, la petición queda en cola y la interfaz lo indica (</w:t>
      </w:r>
      <w:r>
        <w:t xml:space="preserve">“Waiting for the generation worker to pick this up”</w:t>
      </w:r>
      <w:r>
        <w:t xml:space="preserve">); el resto de la aplicación funciona con normalidad.</w:t>
      </w:r>
    </w:p>
    <w:bookmarkEnd w:id="9"/>
    <w:bookmarkStart w:id="10" w:name="código"/>
    <w:p>
      <w:pPr>
        <w:pStyle w:val="Heading2"/>
      </w:pPr>
      <w:r>
        <w:t xml:space="preserve">Código</w:t>
      </w:r>
    </w:p>
    <w:p>
      <w:pPr>
        <w:pStyle w:val="Compact"/>
        <w:numPr>
          <w:ilvl w:val="0"/>
          <w:numId w:val="1002"/>
        </w:numPr>
      </w:pPr>
      <w:r>
        <w:t xml:space="preserve">Repositorio privado en GitHub: https://github.com/VictorMartinezBlanco/TFG_NutriApp</w:t>
      </w:r>
    </w:p>
    <w:p>
      <w:pPr>
        <w:pStyle w:val="Compact"/>
        <w:numPr>
          <w:ilvl w:val="0"/>
          <w:numId w:val="1002"/>
        </w:numPr>
      </w:pPr>
      <w:r>
        <w:t xml:space="preserve">El fichero</w:t>
      </w:r>
      <w:r>
        <w:t xml:space="preserve"> </w:t>
      </w:r>
      <w:r>
        <w:rPr>
          <w:rStyle w:val="VerbatimChar"/>
        </w:rPr>
        <w:t xml:space="preserve">TFG_NutriApp.zip</w:t>
      </w:r>
      <w:r>
        <w:t xml:space="preserve"> </w:t>
      </w:r>
      <w:r>
        <w:t xml:space="preserve">adjunto es una copia exacta del repositorio en el commit de la entrega (exportado con</w:t>
      </w:r>
      <w:r>
        <w:t xml:space="preserve"> </w:t>
      </w:r>
      <w:r>
        <w:rPr>
          <w:rStyle w:val="VerbatimChar"/>
        </w:rPr>
        <w:t xml:space="preserve">git archive</w:t>
      </w:r>
      <w:r>
        <w:t xml:space="preserve">, sin ficheros de entorno ni dependencias instaladas). Incluye la memoria en PDF en</w:t>
      </w:r>
      <w:r>
        <w:t xml:space="preserve"> </w:t>
      </w:r>
      <w:r>
        <w:rPr>
          <w:rStyle w:val="VerbatimChar"/>
        </w:rPr>
        <w:t xml:space="preserve">MEMORIA/TFGTeXiS.pdf</w:t>
      </w:r>
      <w:r>
        <w:t xml:space="preserve">.</w:t>
      </w:r>
    </w:p>
    <w:p>
      <w:pPr>
        <w:pStyle w:val="FirstParagraph"/>
      </w:pPr>
      <w:r>
        <w:t xml:space="preserve">Estructura del repositorio: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</w:t>
      </w:r>
      <w:r>
        <w:t xml:space="preserve">: motor de generación (OR-Tools CP-SAT), validador, traductor y comprobaciones previas con el modelo de lenguaje, API HTTP (FastAPI), worker de generación, migraciones SQL de la base de datos y bancos de prueba (</w:t>
      </w:r>
      <w:r>
        <w:rPr>
          <w:rStyle w:val="VerbatimChar"/>
        </w:rPr>
        <w:t xml:space="preserve">scripts/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frontend/</w:t>
      </w:r>
      <w:r>
        <w:t xml:space="preserve">: aplicación web en Next.js 14 con los dos paneles (nutricionista y cliente).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MEMORIA/</w:t>
      </w:r>
      <w:r>
        <w:t xml:space="preserve">: fuentes LaTeX de la memoria (plantilla TFGTeXiS) y el PDF compilado.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feedback-docs/</w:t>
      </w:r>
      <w:r>
        <w:t xml:space="preserve">: documentos de trabajo del proyecto: especificación y formalización del motor, experimentos con sus datos crudos y figuras, guía de la prueba con nutricionistas y registro de puntos abiertos con los directores.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MOCK-UP V1/</w:t>
      </w:r>
      <w:r>
        <w:t xml:space="preserve">: capturas del prototipo inicial en Figma.</w:t>
      </w:r>
    </w:p>
    <w:bookmarkEnd w:id="10"/>
    <w:bookmarkStart w:id="11" w:name="cómo-arrancar-en-local"/>
    <w:p>
      <w:pPr>
        <w:pStyle w:val="Heading2"/>
      </w:pPr>
      <w:r>
        <w:t xml:space="preserve">Cómo arrancar en local</w:t>
      </w:r>
    </w:p>
    <w:p>
      <w:pPr>
        <w:pStyle w:val="FirstParagraph"/>
      </w:pPr>
      <w:r>
        <w:t xml:space="preserve">Requisitos: Python 3.11 o superior (el despliegue usa 3.14), Node 20, un proyecto de Supabase con las migraciones de</w:t>
      </w:r>
      <w:r>
        <w:t xml:space="preserve"> </w:t>
      </w:r>
      <w:r>
        <w:rPr>
          <w:rStyle w:val="VerbatimChar"/>
        </w:rPr>
        <w:t xml:space="preserve">backend/migrations/sql/</w:t>
      </w:r>
      <w:r>
        <w:t xml:space="preserve"> </w:t>
      </w:r>
      <w:r>
        <w:t xml:space="preserve">aplicadas en orden, y Ollama con el modelo</w:t>
      </w:r>
      <w:r>
        <w:t xml:space="preserve"> </w:t>
      </w:r>
      <w:r>
        <w:rPr>
          <w:rStyle w:val="VerbatimChar"/>
        </w:rPr>
        <w:t xml:space="preserve">qwen2.5:7b-instruct</w:t>
      </w:r>
      <w:r>
        <w:t xml:space="preserve"> </w:t>
      </w:r>
      <w:r>
        <w:t xml:space="preserve">(y</w:t>
      </w:r>
      <w:r>
        <w:t xml:space="preserve"> </w:t>
      </w:r>
      <w:r>
        <w:rPr>
          <w:rStyle w:val="VerbatimChar"/>
        </w:rPr>
        <w:t xml:space="preserve">qwen2.5:3b-instruct</w:t>
      </w:r>
      <w:r>
        <w:t xml:space="preserve"> </w:t>
      </w:r>
      <w:r>
        <w:t xml:space="preserve">para las comprobaciones previas) si se quiere usar la generación con IA.</w:t>
      </w:r>
    </w:p>
    <w:p>
      <w:pPr>
        <w:pStyle w:val="Compact"/>
        <w:numPr>
          <w:ilvl w:val="0"/>
          <w:numId w:val="1004"/>
        </w:numPr>
      </w:pPr>
      <w:r>
        <w:t xml:space="preserve">Clonar el repositorio o descomprimir el zip.</w:t>
      </w:r>
    </w:p>
    <w:p>
      <w:pPr>
        <w:pStyle w:val="Compact"/>
        <w:numPr>
          <w:ilvl w:val="0"/>
          <w:numId w:val="1004"/>
        </w:numPr>
      </w:pPr>
      <w:r>
        <w:t xml:space="preserve">Backend: en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 crear un entorno virtual, instalar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y copiar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con la URL del pooler de Supabase y un token para la API.</w:t>
      </w:r>
    </w:p>
    <w:p>
      <w:pPr>
        <w:pStyle w:val="Compact"/>
        <w:numPr>
          <w:ilvl w:val="0"/>
          <w:numId w:val="1004"/>
        </w:numPr>
      </w:pPr>
      <w:r>
        <w:t xml:space="preserve">Arrancar la API:</w:t>
      </w:r>
      <w:r>
        <w:t xml:space="preserve"> </w:t>
      </w:r>
      <w:r>
        <w:rPr>
          <w:rStyle w:val="VerbatimChar"/>
        </w:rPr>
        <w:t xml:space="preserve">uvicorn app.api.main:app --reload --port 8000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Arrancar el worker de generación:</w:t>
      </w:r>
      <w:r>
        <w:t xml:space="preserve"> </w:t>
      </w:r>
      <w:r>
        <w:rPr>
          <w:rStyle w:val="VerbatimChar"/>
        </w:rPr>
        <w:t xml:space="preserve">python -m app.worker.run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--fake</w:t>
      </w:r>
      <w:r>
        <w:t xml:space="preserve"> </w:t>
      </w:r>
      <w:r>
        <w:t xml:space="preserve">para probar el flujo sin Ollama).</w:t>
      </w:r>
    </w:p>
    <w:p>
      <w:pPr>
        <w:pStyle w:val="Compact"/>
        <w:numPr>
          <w:ilvl w:val="0"/>
          <w:numId w:val="1004"/>
        </w:numPr>
      </w:pPr>
      <w:r>
        <w:t xml:space="preserve">Frontend: en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 copiar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con la URL y la clave pública de Supabase, la URL de la API (</w:t>
      </w:r>
      <w:r>
        <w:rPr>
          <w:rStyle w:val="VerbatimChar"/>
        </w:rPr>
        <w:t xml:space="preserve">http://localhost:8000</w:t>
      </w:r>
      <w:r>
        <w:t xml:space="preserve">) y el mismo token.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y abrir http://localhost:3000.</w:t>
      </w:r>
    </w:p>
    <w:p>
      <w:pPr>
        <w:pStyle w:val="FirstParagraph"/>
      </w:pPr>
      <w:r>
        <w:t xml:space="preserve">Los README de cada carpeta (</w:t>
      </w:r>
      <w:r>
        <w:rPr>
          <w:rStyle w:val="VerbatimChar"/>
        </w:rPr>
        <w:t xml:space="preserve">backend/README.md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frontend/README.md</w:t>
      </w:r>
      <w:r>
        <w:t xml:space="preserve">) detallan las variables de entorno y los bancos de prueba.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2026-09-08T05:43:38Z</dcterms:created>
  <dcterms:modified xsi:type="dcterms:W3CDTF">2026-09-08T05:43:38Z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