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82E" w:rsidRPr="008957EF" w:rsidRDefault="0028582E" w:rsidP="0028582E">
      <w:pPr>
        <w:pStyle w:val="Sinespaciado"/>
        <w:rPr>
          <w:rFonts w:ascii="Arial" w:hAnsi="Arial" w:cs="Arial"/>
          <w:sz w:val="20"/>
          <w:szCs w:val="20"/>
        </w:rPr>
      </w:pP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Crear una universidad en línea de ASTRA Corporation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ASTRA Corporation ofrece y provee actualmente programas de educación y capacitación para sus empleados que se imparten personalmente en aulas. La información en línea ha sido solicitada por los empleados de ASTRA en seis sedes de la empresa en América del norte y cinco en Europa. Este proyecto cuenta con la autorización para crear la universidad en línea de ASTRA Corporation, un componente de educación y capacitación que ofrecerá programas de formación en línea para los empleados.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ASTRA emitirá una solicitud de propuesta para seleccionar un contratista externo que diseñe, desarrolle, entregue y evalúe el entorno en línea para los 20 cursos que se han identificado como información importante para la mayoría de los empleados de ASTRA, la cual identificó estos 20 cursos a partir de los cursos presenciales actuales que se ofrecen en el catálogo de formación empresarial.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El idioma de enseñanza será el inglés. Se evaluarán los comentarios de los seis primeros cursos disponibles en línea a cerca de la disponibilidad, los requisitos para las experiencias en tiempo real y diferidas, y la eficacia durante el programa piloto inicial de tres meses. Al término del programa piloto de seis cursos, el contratista deberá entregar un reporte por escrito y hacer una presentación al vicepresidente de Recursos humanos de ASTRA sobre los resultados de la evaluación y los cambios recomendados para la disponibilidad, experiencia de formación y eficacia. Los 14 cursos restantes estarán disponibles en línea al finalizar la prueba piloto. A los seis, nueve y doce meses de funcionamiento el contratista deberá presentar reportes de las inscripciones y evaluaciones de los cursos.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Los objetivos de implementación de los 20 cursos don dos:</w:t>
      </w:r>
    </w:p>
    <w:p w:rsidR="008957EF" w:rsidRPr="008957EF" w:rsidRDefault="008957EF" w:rsidP="008957EF">
      <w:pPr>
        <w:pStyle w:val="normal0"/>
        <w:numPr>
          <w:ilvl w:val="0"/>
          <w:numId w:val="3"/>
        </w:numPr>
        <w:spacing w:after="0"/>
        <w:ind w:hanging="360"/>
        <w:contextualSpacing/>
        <w:jc w:val="both"/>
        <w:rPr>
          <w:rFonts w:ascii="Arial" w:eastAsia="Arial" w:hAnsi="Arial" w:cs="Arial"/>
          <w:sz w:val="20"/>
          <w:szCs w:val="20"/>
        </w:rPr>
      </w:pPr>
      <w:r w:rsidRPr="008957EF">
        <w:rPr>
          <w:rFonts w:ascii="Arial" w:eastAsia="Arial" w:hAnsi="Arial" w:cs="Arial"/>
          <w:sz w:val="20"/>
          <w:szCs w:val="20"/>
        </w:rPr>
        <w:t>Propiciar un mensaje congruente de capacitación para los cursos en línea utilizando el sistema de administración de recursos ASTRA y</w:t>
      </w:r>
    </w:p>
    <w:p w:rsidR="008957EF" w:rsidRPr="008957EF" w:rsidRDefault="008957EF" w:rsidP="008957EF">
      <w:pPr>
        <w:pStyle w:val="normal0"/>
        <w:numPr>
          <w:ilvl w:val="0"/>
          <w:numId w:val="3"/>
        </w:numPr>
        <w:ind w:hanging="360"/>
        <w:contextualSpacing/>
        <w:jc w:val="both"/>
        <w:rPr>
          <w:rFonts w:ascii="Arial" w:eastAsia="Arial" w:hAnsi="Arial" w:cs="Arial"/>
          <w:sz w:val="20"/>
          <w:szCs w:val="20"/>
        </w:rPr>
      </w:pPr>
      <w:r w:rsidRPr="008957EF">
        <w:rPr>
          <w:rFonts w:ascii="Arial" w:eastAsia="Arial" w:hAnsi="Arial" w:cs="Arial"/>
          <w:sz w:val="20"/>
          <w:szCs w:val="20"/>
        </w:rPr>
        <w:t xml:space="preserve">Reducir los costos relacionados con la impartición de los curos al incorporar tecnologías Web 2.0 y otras estrategias pedagógicas apropiadas en el diseño del curso y así eliminar la presencia de un instructor.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Se espera que la implementación de los cursos reduzca 26% de los costos de presentación de la información para los 20 curos el primer año y proporciona capacitación para todos los nuevos empleados dentro de su periodo de prueba y recertificación para todos los demás empleados una vez al año. </w:t>
      </w:r>
    </w:p>
    <w:p w:rsidR="008957EF" w:rsidRPr="008957EF" w:rsidRDefault="008957EF" w:rsidP="008957EF">
      <w:pPr>
        <w:pStyle w:val="normal0"/>
        <w:jc w:val="both"/>
        <w:rPr>
          <w:rFonts w:ascii="Arial" w:hAnsi="Arial" w:cs="Arial"/>
          <w:sz w:val="20"/>
          <w:szCs w:val="20"/>
        </w:rPr>
      </w:pP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El monto total de los fondos autorizados para este proyecto es de $200,000 dólares para el diseño y desarrollo de los 20 cursos, y $25 por inscripciones para su entrega en línea. Las inscripciones proyectadas son 15000.</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El contratista deberá diseñar, desarrollar, entregar y evaluar 20 cursos en línea, entregar reportes trimestrales por escrito y proporcionar soporte técnico en todo momento durante el año después del programa piloto inicial.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El entorno de capacitación en línea cumple con las normas de ASTRA en la publiación AQO No. 7. La capacitación se impartirá en inglés. El vicepresidente de Recursos Humanos de ASTRA debe dar la aprobación final de todos los cursos antes de que estén en línea.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La agenda de proyecto para los principales milestones en los meses naturales después de firmar el contrato con el contratista es la siguiente:</w:t>
      </w:r>
    </w:p>
    <w:p w:rsidR="008957EF" w:rsidRPr="008957EF" w:rsidRDefault="008957EF" w:rsidP="008957EF">
      <w:pPr>
        <w:pStyle w:val="normal0"/>
        <w:jc w:val="both"/>
        <w:rPr>
          <w:rFonts w:ascii="Arial" w:hAnsi="Arial" w:cs="Arial"/>
          <w:sz w:val="20"/>
          <w:szCs w:val="20"/>
        </w:rPr>
      </w:pPr>
    </w:p>
    <w:tbl>
      <w:tblPr>
        <w:tblW w:w="849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47"/>
        <w:gridCol w:w="4247"/>
      </w:tblGrid>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Actividad</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Fecha</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Plan inicial del proyecto preparado</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1</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 xml:space="preserve">Cursos pilotos diseñados </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3</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 xml:space="preserve">Cursos pilotos desarrollados </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7</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Evaluación diseñada</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7</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Inicio de la entrega de los seis meses piloto</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8</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Los 20 cursos diseñados</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10</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Evaluación completa de los seis cursos piloto</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11</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Los 20 cursos desarrollados</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12</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Inicio de la entrega de los cursos restantes</w:t>
            </w:r>
          </w:p>
        </w:tc>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Mes 12</w:t>
            </w:r>
          </w:p>
          <w:p w:rsidR="008957EF" w:rsidRPr="008957EF" w:rsidRDefault="008957EF" w:rsidP="001A3247">
            <w:pPr>
              <w:pStyle w:val="normal0"/>
              <w:jc w:val="both"/>
              <w:rPr>
                <w:rFonts w:ascii="Arial" w:hAnsi="Arial" w:cs="Arial"/>
                <w:sz w:val="20"/>
                <w:szCs w:val="20"/>
              </w:rPr>
            </w:pP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Evaluación de todos los cursos</w:t>
            </w:r>
          </w:p>
        </w:tc>
        <w:tc>
          <w:tcPr>
            <w:tcW w:w="4247" w:type="dxa"/>
          </w:tcPr>
          <w:p w:rsidR="008957EF" w:rsidRPr="008957EF" w:rsidRDefault="008957EF" w:rsidP="001A3247">
            <w:pPr>
              <w:pStyle w:val="normal0"/>
              <w:rPr>
                <w:rFonts w:ascii="Arial" w:hAnsi="Arial" w:cs="Arial"/>
                <w:sz w:val="20"/>
                <w:szCs w:val="20"/>
              </w:rPr>
            </w:pPr>
            <w:r w:rsidRPr="008957EF">
              <w:rPr>
                <w:rFonts w:ascii="Arial" w:eastAsia="Arial" w:hAnsi="Arial" w:cs="Arial"/>
                <w:sz w:val="20"/>
                <w:szCs w:val="20"/>
              </w:rPr>
              <w:t>Mes 15</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Evaluación de todos los cursos</w:t>
            </w:r>
          </w:p>
        </w:tc>
        <w:tc>
          <w:tcPr>
            <w:tcW w:w="4247" w:type="dxa"/>
          </w:tcPr>
          <w:p w:rsidR="008957EF" w:rsidRPr="008957EF" w:rsidRDefault="008957EF" w:rsidP="001A3247">
            <w:pPr>
              <w:pStyle w:val="normal0"/>
              <w:rPr>
                <w:rFonts w:ascii="Arial" w:hAnsi="Arial" w:cs="Arial"/>
                <w:sz w:val="20"/>
                <w:szCs w:val="20"/>
              </w:rPr>
            </w:pPr>
            <w:r w:rsidRPr="008957EF">
              <w:rPr>
                <w:rFonts w:ascii="Arial" w:eastAsia="Arial" w:hAnsi="Arial" w:cs="Arial"/>
                <w:sz w:val="20"/>
                <w:szCs w:val="20"/>
              </w:rPr>
              <w:t>Mes 18</w:t>
            </w:r>
          </w:p>
        </w:tc>
      </w:tr>
      <w:tr w:rsidR="008957EF" w:rsidRPr="008957EF" w:rsidTr="001A3247">
        <w:tc>
          <w:tcPr>
            <w:tcW w:w="4247" w:type="dxa"/>
          </w:tcPr>
          <w:p w:rsidR="008957EF" w:rsidRPr="008957EF" w:rsidRDefault="008957EF" w:rsidP="001A3247">
            <w:pPr>
              <w:pStyle w:val="normal0"/>
              <w:jc w:val="both"/>
              <w:rPr>
                <w:rFonts w:ascii="Arial" w:hAnsi="Arial" w:cs="Arial"/>
                <w:sz w:val="20"/>
                <w:szCs w:val="20"/>
              </w:rPr>
            </w:pPr>
            <w:r w:rsidRPr="008957EF">
              <w:rPr>
                <w:rFonts w:ascii="Arial" w:eastAsia="Arial" w:hAnsi="Arial" w:cs="Arial"/>
                <w:sz w:val="20"/>
                <w:szCs w:val="20"/>
              </w:rPr>
              <w:t>Evaluación de todos los cursos</w:t>
            </w:r>
          </w:p>
        </w:tc>
        <w:tc>
          <w:tcPr>
            <w:tcW w:w="4247" w:type="dxa"/>
          </w:tcPr>
          <w:p w:rsidR="008957EF" w:rsidRPr="008957EF" w:rsidRDefault="008957EF" w:rsidP="001A3247">
            <w:pPr>
              <w:pStyle w:val="normal0"/>
              <w:rPr>
                <w:rFonts w:ascii="Arial" w:hAnsi="Arial" w:cs="Arial"/>
                <w:sz w:val="20"/>
                <w:szCs w:val="20"/>
              </w:rPr>
            </w:pPr>
            <w:r w:rsidRPr="008957EF">
              <w:rPr>
                <w:rFonts w:ascii="Arial" w:eastAsia="Arial" w:hAnsi="Arial" w:cs="Arial"/>
                <w:sz w:val="20"/>
                <w:szCs w:val="20"/>
              </w:rPr>
              <w:t>Mes 21</w:t>
            </w:r>
          </w:p>
        </w:tc>
      </w:tr>
    </w:tbl>
    <w:p w:rsidR="008957EF" w:rsidRPr="008957EF" w:rsidRDefault="008957EF" w:rsidP="008957EF">
      <w:pPr>
        <w:pStyle w:val="normal0"/>
        <w:jc w:val="both"/>
        <w:rPr>
          <w:rFonts w:ascii="Arial" w:hAnsi="Arial" w:cs="Arial"/>
          <w:sz w:val="20"/>
          <w:szCs w:val="20"/>
        </w:rPr>
      </w:pP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El contratista utilizará el sistema de administración de cursos ya desarrollado y probado por los sistemas de información de ASTRA Corporation.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Los cursos deben presentar la información dentro de los lineamientos desarrollados seleccionados por ASTRA. Las estrategias educativas adecuadas se aplicarán para la presentación de la información dentro de los ambientes en línea. El sistema de administración de cursos ASTRA contiene tecnologías Web 2.0, mecanismo de cuestionarios, un sistema de calendario, capacidad para video y monitoreo de la actividad de los participantes.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El contratista deberá firmar un acuerdo de confidencialidad para no revelar ninguna información reservado a lo largo de los 20 cursos, con el fin de evitar la divulgación de los procesos y prácticas que ASTRA Corporation ha desarrollado para obtener una ventaja competitiva.</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Todos los cursos deberán ser aprobados por el vicepresidente de Recursos Humanos de ASTRA en los milestones y antes de la activación de su ofrecimiento inicial.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Marie Kerba es la gerente del proyecto asignada de ASTRA y es la responsable del proyecto. Ella es el punto de contacto del ASTRA con el contratista y se encargará de supervisar el desempeño de éste.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 xml:space="preserve">El gerente de proyecto de ASTRA debe preparar reportes por escrito y presentarlos por vía electrónica al vicepresidente de Recursos Humanos de ASTRA una semana antes de la presentación oral. Para esta presentación se pueden usar técnicas electrónicas a distancia. </w:t>
      </w:r>
    </w:p>
    <w:p w:rsidR="008957EF" w:rsidRPr="008957EF" w:rsidRDefault="008957EF" w:rsidP="008957EF">
      <w:pPr>
        <w:pStyle w:val="normal0"/>
        <w:jc w:val="both"/>
        <w:rPr>
          <w:rFonts w:ascii="Arial" w:hAnsi="Arial" w:cs="Arial"/>
          <w:sz w:val="20"/>
          <w:szCs w:val="20"/>
        </w:rPr>
      </w:pPr>
      <w:r w:rsidRPr="008957EF">
        <w:rPr>
          <w:rFonts w:ascii="Arial" w:eastAsia="Arial" w:hAnsi="Arial" w:cs="Arial"/>
          <w:sz w:val="20"/>
          <w:szCs w:val="20"/>
        </w:rPr>
        <w:t>Ida Trayna, Vicepresidenta de Recursos Humanos. Fecha: 1 junio</w:t>
      </w:r>
    </w:p>
    <w:p w:rsidR="008957EF" w:rsidRPr="008957EF" w:rsidRDefault="008957EF" w:rsidP="008957EF">
      <w:pPr>
        <w:pStyle w:val="normal0"/>
        <w:jc w:val="both"/>
        <w:rPr>
          <w:rFonts w:ascii="Arial" w:hAnsi="Arial" w:cs="Arial"/>
          <w:sz w:val="20"/>
          <w:szCs w:val="20"/>
        </w:rPr>
      </w:pPr>
    </w:p>
    <w:p w:rsidR="008957EF" w:rsidRPr="008957EF" w:rsidRDefault="008957EF" w:rsidP="008957EF">
      <w:pPr>
        <w:pStyle w:val="normal0"/>
        <w:jc w:val="both"/>
        <w:rPr>
          <w:rFonts w:ascii="Arial" w:hAnsi="Arial" w:cs="Arial"/>
          <w:sz w:val="20"/>
          <w:szCs w:val="20"/>
        </w:rPr>
      </w:pPr>
    </w:p>
    <w:p w:rsidR="008957EF" w:rsidRPr="008957EF" w:rsidRDefault="008957EF" w:rsidP="008957EF">
      <w:pPr>
        <w:pStyle w:val="normal0"/>
        <w:jc w:val="both"/>
        <w:rPr>
          <w:rFonts w:ascii="Arial" w:hAnsi="Arial" w:cs="Arial"/>
          <w:sz w:val="20"/>
          <w:szCs w:val="20"/>
        </w:rPr>
      </w:pPr>
      <w:r w:rsidRPr="008957EF">
        <w:rPr>
          <w:rFonts w:ascii="Arial" w:hAnsi="Arial" w:cs="Arial"/>
          <w:sz w:val="20"/>
          <w:szCs w:val="20"/>
        </w:rPr>
        <w:t>Referencias bibliográficas</w:t>
      </w:r>
    </w:p>
    <w:p w:rsidR="008957EF" w:rsidRPr="008957EF" w:rsidRDefault="008957EF" w:rsidP="008957EF">
      <w:pPr>
        <w:pStyle w:val="normal0"/>
        <w:ind w:right="9"/>
        <w:jc w:val="both"/>
        <w:rPr>
          <w:rFonts w:ascii="Arial" w:hAnsi="Arial" w:cs="Arial"/>
          <w:sz w:val="20"/>
          <w:szCs w:val="20"/>
        </w:rPr>
      </w:pPr>
      <w:r w:rsidRPr="008957EF">
        <w:rPr>
          <w:rFonts w:ascii="Arial" w:eastAsia="Arial" w:hAnsi="Arial" w:cs="Arial"/>
          <w:sz w:val="20"/>
          <w:szCs w:val="20"/>
        </w:rPr>
        <w:t xml:space="preserve">Fuente: Gido, J. y Clements, J (2010), Administración exitosa de proyectos, CengageLearning Editores, 5ª. Edición, México. </w:t>
      </w:r>
    </w:p>
    <w:p w:rsidR="001B58EC" w:rsidRPr="00955CF1" w:rsidRDefault="001B58EC" w:rsidP="001B58EC">
      <w:pPr>
        <w:rPr>
          <w:rFonts w:ascii="Arial" w:hAnsi="Arial" w:cs="Arial"/>
          <w:sz w:val="20"/>
          <w:szCs w:val="16"/>
        </w:rPr>
      </w:pPr>
      <w:bookmarkStart w:id="0" w:name="h.gjdgxs" w:colFirst="0" w:colLast="0"/>
      <w:bookmarkEnd w:id="0"/>
    </w:p>
    <w:sectPr w:rsidR="001B58EC" w:rsidRPr="00955CF1" w:rsidSect="00840A0B">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EF6" w:rsidRDefault="00A86EF6" w:rsidP="0028582E">
      <w:pPr>
        <w:spacing w:after="0" w:line="240" w:lineRule="auto"/>
      </w:pPr>
      <w:r>
        <w:separator/>
      </w:r>
    </w:p>
  </w:endnote>
  <w:endnote w:type="continuationSeparator" w:id="1">
    <w:p w:rsidR="00A86EF6" w:rsidRDefault="00A86EF6" w:rsidP="00285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EF6" w:rsidRDefault="00A86EF6" w:rsidP="0028582E">
      <w:pPr>
        <w:spacing w:after="0" w:line="240" w:lineRule="auto"/>
      </w:pPr>
      <w:r>
        <w:separator/>
      </w:r>
    </w:p>
  </w:footnote>
  <w:footnote w:type="continuationSeparator" w:id="1">
    <w:p w:rsidR="00A86EF6" w:rsidRDefault="00A86EF6" w:rsidP="002858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82E" w:rsidRDefault="0028582E" w:rsidP="0028582E">
    <w:pPr>
      <w:pStyle w:val="Encabezado"/>
      <w:rPr>
        <w:b/>
      </w:rPr>
    </w:pPr>
    <w:r>
      <w:rPr>
        <w:noProof/>
        <w:lang w:val="es-ES" w:eastAsia="es-ES"/>
      </w:rPr>
      <w:drawing>
        <wp:inline distT="0" distB="0" distL="0" distR="0">
          <wp:extent cx="1235449" cy="466725"/>
          <wp:effectExtent l="0" t="0" r="3175" b="0"/>
          <wp:docPr id="2" name="1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237675" cy="467566"/>
                  </a:xfrm>
                  <a:prstGeom prst="rect">
                    <a:avLst/>
                  </a:prstGeom>
                </pic:spPr>
              </pic:pic>
            </a:graphicData>
          </a:graphic>
        </wp:inline>
      </w:drawing>
    </w:r>
  </w:p>
  <w:p w:rsidR="0028582E" w:rsidRDefault="00546B99">
    <w:pPr>
      <w:pStyle w:val="Encabezado"/>
    </w:pPr>
    <w:r w:rsidRPr="00546B99">
      <w:rPr>
        <w:noProof/>
        <w:lang w:val="en-US"/>
      </w:rPr>
      <w:pict>
        <v:line id="Conector recto 3" o:spid="_x0000_s2049" style="position:absolute;flip:y;z-index:251659264;visibility:visible;mso-width-relative:margin;mso-height-relative:margin" from="-.75pt,6pt" to="45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" strokecolor="#70ad47 [3209]"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84460"/>
    <w:multiLevelType w:val="hybridMultilevel"/>
    <w:tmpl w:val="5CEA0E5A"/>
    <w:lvl w:ilvl="0" w:tplc="EB32781E">
      <w:start w:val="1"/>
      <w:numFmt w:val="bullet"/>
      <w:pStyle w:val="Checklist2"/>
      <w:lvlText w:val="□"/>
      <w:lvlJc w:val="left"/>
      <w:pPr>
        <w:tabs>
          <w:tab w:val="num" w:pos="720"/>
        </w:tabs>
        <w:ind w:left="720" w:hanging="360"/>
      </w:pPr>
      <w:rPr>
        <w:rFonts w:ascii="Courier New" w:hAnsi="Courier New" w:cs="Times New Roman" w:hint="default"/>
        <w:sz w:val="24"/>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2BD006B"/>
    <w:multiLevelType w:val="multilevel"/>
    <w:tmpl w:val="73EEEC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D64272D"/>
    <w:multiLevelType w:val="hybridMultilevel"/>
    <w:tmpl w:val="6B32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o:shapelayout v:ext="edit">
      <o:idmap v:ext="edit" data="2"/>
    </o:shapelayout>
  </w:hdrShapeDefaults>
  <w:footnotePr>
    <w:footnote w:id="0"/>
    <w:footnote w:id="1"/>
  </w:footnotePr>
  <w:endnotePr>
    <w:endnote w:id="0"/>
    <w:endnote w:id="1"/>
  </w:endnotePr>
  <w:compat/>
  <w:rsids>
    <w:rsidRoot w:val="000E69A9"/>
    <w:rsid w:val="00057CBB"/>
    <w:rsid w:val="00077609"/>
    <w:rsid w:val="000A24C6"/>
    <w:rsid w:val="000E69A9"/>
    <w:rsid w:val="001B58EC"/>
    <w:rsid w:val="0022731E"/>
    <w:rsid w:val="00235892"/>
    <w:rsid w:val="00280C2B"/>
    <w:rsid w:val="0028582E"/>
    <w:rsid w:val="002A2722"/>
    <w:rsid w:val="002F08D6"/>
    <w:rsid w:val="003E772F"/>
    <w:rsid w:val="00453E3A"/>
    <w:rsid w:val="0049237C"/>
    <w:rsid w:val="004F5F5F"/>
    <w:rsid w:val="00512AE3"/>
    <w:rsid w:val="0052320B"/>
    <w:rsid w:val="00546B99"/>
    <w:rsid w:val="005853F2"/>
    <w:rsid w:val="00594B58"/>
    <w:rsid w:val="005B5255"/>
    <w:rsid w:val="005C187E"/>
    <w:rsid w:val="005C442C"/>
    <w:rsid w:val="005D3F42"/>
    <w:rsid w:val="005D7503"/>
    <w:rsid w:val="006046CE"/>
    <w:rsid w:val="006C6F7F"/>
    <w:rsid w:val="00785AE4"/>
    <w:rsid w:val="008329CB"/>
    <w:rsid w:val="00840A0B"/>
    <w:rsid w:val="00843A1D"/>
    <w:rsid w:val="00845969"/>
    <w:rsid w:val="008957EF"/>
    <w:rsid w:val="00910A8A"/>
    <w:rsid w:val="00911E8B"/>
    <w:rsid w:val="00955CF1"/>
    <w:rsid w:val="0096065F"/>
    <w:rsid w:val="009963E6"/>
    <w:rsid w:val="009B6B7A"/>
    <w:rsid w:val="00A86EF6"/>
    <w:rsid w:val="00AC38AB"/>
    <w:rsid w:val="00BB4956"/>
    <w:rsid w:val="00BD276F"/>
    <w:rsid w:val="00C275EA"/>
    <w:rsid w:val="00C571D7"/>
    <w:rsid w:val="00C626C6"/>
    <w:rsid w:val="00D27A24"/>
    <w:rsid w:val="00D41E61"/>
    <w:rsid w:val="00D60E79"/>
    <w:rsid w:val="00D81CDF"/>
    <w:rsid w:val="00DB3582"/>
    <w:rsid w:val="00DE4C4B"/>
    <w:rsid w:val="00E230A0"/>
    <w:rsid w:val="00E66975"/>
    <w:rsid w:val="00F6684D"/>
    <w:rsid w:val="00FB15B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9A9"/>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E69A9"/>
    <w:pPr>
      <w:spacing w:after="0" w:line="240" w:lineRule="auto"/>
    </w:pPr>
    <w:rPr>
      <w:rFonts w:ascii="Calibri" w:eastAsia="Calibri" w:hAnsi="Calibri" w:cs="Times New Roman"/>
    </w:rPr>
  </w:style>
  <w:style w:type="paragraph" w:customStyle="1" w:styleId="Puesto1">
    <w:name w:val="Puesto1"/>
    <w:basedOn w:val="Normal"/>
    <w:link w:val="PuestoCar"/>
    <w:qFormat/>
    <w:rsid w:val="000E69A9"/>
    <w:pPr>
      <w:spacing w:after="0" w:line="240" w:lineRule="auto"/>
      <w:jc w:val="center"/>
    </w:pPr>
    <w:rPr>
      <w:rFonts w:ascii="Times New Roman" w:eastAsia="Times New Roman" w:hAnsi="Times New Roman"/>
      <w:b/>
      <w:sz w:val="24"/>
      <w:szCs w:val="20"/>
    </w:rPr>
  </w:style>
  <w:style w:type="character" w:customStyle="1" w:styleId="PuestoCar">
    <w:name w:val="Puesto Car"/>
    <w:link w:val="Puesto1"/>
    <w:rsid w:val="000E69A9"/>
    <w:rPr>
      <w:rFonts w:ascii="Times New Roman" w:eastAsia="Times New Roman" w:hAnsi="Times New Roman" w:cs="Times New Roman"/>
      <w:b/>
      <w:sz w:val="24"/>
      <w:szCs w:val="20"/>
    </w:rPr>
  </w:style>
  <w:style w:type="paragraph" w:styleId="Encabezado">
    <w:name w:val="header"/>
    <w:basedOn w:val="Normal"/>
    <w:link w:val="EncabezadoCar"/>
    <w:uiPriority w:val="99"/>
    <w:unhideWhenUsed/>
    <w:rsid w:val="002858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8582E"/>
    <w:rPr>
      <w:rFonts w:ascii="Calibri" w:eastAsia="Calibri" w:hAnsi="Calibri" w:cs="Times New Roman"/>
    </w:rPr>
  </w:style>
  <w:style w:type="paragraph" w:styleId="Piedepgina">
    <w:name w:val="footer"/>
    <w:basedOn w:val="Normal"/>
    <w:link w:val="PiedepginaCar"/>
    <w:uiPriority w:val="99"/>
    <w:unhideWhenUsed/>
    <w:rsid w:val="002858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8582E"/>
    <w:rPr>
      <w:rFonts w:ascii="Calibri" w:eastAsia="Calibri" w:hAnsi="Calibri" w:cs="Times New Roman"/>
    </w:rPr>
  </w:style>
  <w:style w:type="table" w:styleId="Tablaconcuadrcula">
    <w:name w:val="Table Grid"/>
    <w:basedOn w:val="Tablanormal"/>
    <w:uiPriority w:val="39"/>
    <w:rsid w:val="00C5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C626C6"/>
  </w:style>
  <w:style w:type="paragraph" w:styleId="Textodeglobo">
    <w:name w:val="Balloon Text"/>
    <w:basedOn w:val="Normal"/>
    <w:link w:val="TextodegloboCar"/>
    <w:uiPriority w:val="99"/>
    <w:semiHidden/>
    <w:unhideWhenUsed/>
    <w:rsid w:val="00453E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E3A"/>
    <w:rPr>
      <w:rFonts w:ascii="Tahoma" w:eastAsia="Calibri" w:hAnsi="Tahoma" w:cs="Tahoma"/>
      <w:sz w:val="16"/>
      <w:szCs w:val="16"/>
    </w:rPr>
  </w:style>
  <w:style w:type="paragraph" w:customStyle="1" w:styleId="Checklist2">
    <w:name w:val="Checklist2"/>
    <w:basedOn w:val="Normal"/>
    <w:rsid w:val="00DB3582"/>
    <w:pPr>
      <w:numPr>
        <w:numId w:val="2"/>
      </w:numPr>
      <w:tabs>
        <w:tab w:val="clear" w:pos="720"/>
        <w:tab w:val="num" w:pos="1080"/>
      </w:tabs>
      <w:spacing w:after="0" w:line="240" w:lineRule="auto"/>
      <w:ind w:left="1080"/>
    </w:pPr>
    <w:rPr>
      <w:rFonts w:ascii="Tahoma" w:eastAsia="Times New Roman" w:hAnsi="Tahoma" w:cs="Tahoma"/>
      <w:sz w:val="20"/>
      <w:szCs w:val="20"/>
      <w:lang w:val="en-US" w:bidi="en-US"/>
    </w:rPr>
  </w:style>
  <w:style w:type="paragraph" w:customStyle="1" w:styleId="Checklist1">
    <w:name w:val="Checklist1"/>
    <w:basedOn w:val="Normal"/>
    <w:rsid w:val="00DB3582"/>
    <w:pPr>
      <w:tabs>
        <w:tab w:val="num" w:pos="720"/>
        <w:tab w:val="right" w:leader="underscore" w:pos="7200"/>
      </w:tabs>
      <w:spacing w:after="0" w:line="240" w:lineRule="auto"/>
      <w:ind w:left="720" w:hanging="360"/>
    </w:pPr>
    <w:rPr>
      <w:rFonts w:ascii="Tahoma" w:eastAsia="Times New Roman" w:hAnsi="Tahoma" w:cs="Tahoma"/>
      <w:sz w:val="20"/>
      <w:szCs w:val="20"/>
      <w:lang w:val="en-US" w:bidi="en-US"/>
    </w:rPr>
  </w:style>
  <w:style w:type="table" w:customStyle="1" w:styleId="TableNormal">
    <w:name w:val="Table Normal"/>
    <w:uiPriority w:val="2"/>
    <w:semiHidden/>
    <w:unhideWhenUsed/>
    <w:qFormat/>
    <w:rsid w:val="001B58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B58EC"/>
    <w:pPr>
      <w:widowControl w:val="0"/>
      <w:spacing w:after="0" w:line="240" w:lineRule="auto"/>
    </w:pPr>
    <w:rPr>
      <w:rFonts w:asciiTheme="minorHAnsi" w:eastAsiaTheme="minorHAnsi" w:hAnsiTheme="minorHAnsi" w:cstheme="minorBidi"/>
      <w:lang w:val="en-US"/>
    </w:rPr>
  </w:style>
  <w:style w:type="paragraph" w:styleId="Textoindependiente">
    <w:name w:val="Body Text"/>
    <w:basedOn w:val="Normal"/>
    <w:link w:val="TextoindependienteCar"/>
    <w:uiPriority w:val="1"/>
    <w:qFormat/>
    <w:rsid w:val="001B58EC"/>
    <w:pPr>
      <w:widowControl w:val="0"/>
      <w:spacing w:before="72" w:after="0" w:line="240" w:lineRule="auto"/>
      <w:ind w:left="3392"/>
    </w:pPr>
    <w:rPr>
      <w:rFonts w:ascii="Arial" w:eastAsia="Arial" w:hAnsi="Arial" w:cstheme="minorBidi"/>
      <w:b/>
      <w:bCs/>
      <w:lang w:val="en-US"/>
    </w:rPr>
  </w:style>
  <w:style w:type="character" w:customStyle="1" w:styleId="TextoindependienteCar">
    <w:name w:val="Texto independiente Car"/>
    <w:basedOn w:val="Fuentedeprrafopredeter"/>
    <w:link w:val="Textoindependiente"/>
    <w:uiPriority w:val="1"/>
    <w:rsid w:val="001B58EC"/>
    <w:rPr>
      <w:rFonts w:ascii="Arial" w:eastAsia="Arial" w:hAnsi="Arial"/>
      <w:b/>
      <w:bCs/>
      <w:lang w:val="en-US"/>
    </w:rPr>
  </w:style>
  <w:style w:type="paragraph" w:customStyle="1" w:styleId="normal0">
    <w:name w:val="normal"/>
    <w:rsid w:val="008957EF"/>
    <w:rPr>
      <w:rFonts w:ascii="Calibri" w:eastAsia="Calibri" w:hAnsi="Calibri" w:cs="Calibri"/>
      <w:color w:val="000000"/>
      <w:lang w:val="es-ES" w:eastAsia="es-E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67E71-46F9-4EED-865D-A29EAC57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cH®!St!aN €</dc:creator>
  <cp:lastModifiedBy>cesun-online</cp:lastModifiedBy>
  <cp:revision>2</cp:revision>
  <cp:lastPrinted>2016-07-06T16:11:00Z</cp:lastPrinted>
  <dcterms:created xsi:type="dcterms:W3CDTF">2016-07-19T19:11:00Z</dcterms:created>
  <dcterms:modified xsi:type="dcterms:W3CDTF">2016-07-19T19:11:00Z</dcterms:modified>
</cp:coreProperties>
</file>