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8A6D3B"/>
          <w:sz w:val="20"/>
          <w:szCs w:val="20"/>
        </w:rPr>
        <w:t xml:space="preserve">NEXORA Beauty &amp; Essentials</w:t>
      </w:r>
    </w:p>
    <w:p>
      <w:pPr>
        <w:spacing w:after="240"/>
      </w:pPr>
      <w:r>
        <w:rPr>
          <w:b/>
          <w:bCs/>
          <w:color w:val="4A2634"/>
          <w:sz w:val="40"/>
          <w:szCs w:val="40"/>
        </w:rPr>
        <w:t xml:space="preserve">Supabase Connection Test Report</w:t>
      </w:r>
    </w:p>
    <w:p>
      <w:pPr>
        <w:spacing w:after="60"/>
      </w:pPr>
      <w:r>
        <w:rPr>
          <w:color w:val="555555"/>
          <w:sz w:val="20"/>
          <w:szCs w:val="20"/>
        </w:rPr>
        <w:t xml:space="preserve">Prepared for: Ighodalo</w:t>
      </w:r>
    </w:p>
    <w:p>
      <w:pPr>
        <w:spacing w:after="60"/>
      </w:pPr>
      <w:r>
        <w:rPr>
          <w:color w:val="555555"/>
          <w:sz w:val="20"/>
          <w:szCs w:val="20"/>
        </w:rPr>
        <w:t xml:space="preserve">Date: September 5, 2026</w:t>
      </w:r>
    </w:p>
    <w:p>
      <w:pPr>
        <w:spacing w:after="240"/>
      </w:pPr>
      <w:r>
        <w:rPr>
          <w:color w:val="555555"/>
          <w:sz w:val="20"/>
          <w:szCs w:val="20"/>
        </w:rPr>
        <w:t xml:space="preserve">Scope: environment variable configuration, Supabase client behavior, and live connectivity to the NEXORA Supabase project.</w:t>
      </w:r>
    </w:p>
    <w:p>
      <w:pPr>
        <w:pBdr>
          <w:bottom w:val="single" w:color="CCCCCC" w:sz="6"/>
        </w:pBdr>
        <w:spacing w:after="200"/>
      </w:pPr>
    </w:p>
    <w:p>
      <w:pPr>
        <w:pStyle w:val="Heading1"/>
        <w:spacing w:after="160" w:before="320"/>
      </w:pPr>
      <w:r>
        <w:rPr>
          <w:b/>
          <w:bCs/>
          <w:color w:val="4A2634"/>
          <w:sz w:val="28"/>
          <w:szCs w:val="28"/>
        </w:rPr>
        <w:t xml:space="preserve">1. Summary</w:t>
      </w:r>
    </w:p>
    <w:p>
      <w:pPr>
        <w:spacing w:after="160"/>
      </w:pPr>
      <w:r>
        <w:rPr>
          <w:sz w:val="21"/>
          <w:szCs w:val="21"/>
        </w:rPr>
        <w:t xml:space="preserve">Two rounds of testing were run against the NEXORA project's Supabase configuration. The first round, before any fix, found that the app was completely non-functional because VITE_SUPABASE_URL still held the placeholder text from .env.example rather than a real project URL — this caused an uncaught error and a blank screen. After the URL was corrected, the second round confirmed the app connects to the real Supabase project successfully: the network path, TLS, and the API key all check out. The one remaining gap is that the database schema (tables) has not yet been created in that project, so live data reads currently fail gracefully and the app falls back to its built-in local catalogue. No application code was changed during this testing — all issues found were configuration/data-state issues, not code defects.</w:t>
      </w:r>
    </w:p>
    <w:p>
      <w:pPr>
        <w:pStyle w:val="Heading1"/>
        <w:spacing w:after="160" w:before="320"/>
      </w:pPr>
      <w:r>
        <w:rPr>
          <w:b/>
          <w:bCs/>
          <w:color w:val="4A2634"/>
          <w:sz w:val="28"/>
          <w:szCs w:val="28"/>
        </w:rPr>
        <w:t xml:space="preserve">2. Pass / Fail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480"/>
      </w:tblGrid>
      <w:tr>
        <w:tc>
          <w:tcPr>
            <w:tcW w:type="dxa" w:w="3400"/>
            <w:shd w:fill="4A2634" w:val="clear"/>
            <w:tcMar>
              <w:top w:type="dxa" w:w="80"/>
              <w:left w:type="dxa" w:w="120"/>
              <w:bottom w:type="dxa" w:w="80"/>
              <w:right w:type="dxa" w:w="120"/>
            </w:tcMar>
            <w:vAlign w:val="center"/>
          </w:tcPr>
          <w:p>
            <w:pPr>
              <w:jc w:val="left"/>
            </w:pPr>
            <w:r>
              <w:rPr>
                <w:b/>
                <w:bCs/>
                <w:color w:val="FFFFFF"/>
                <w:sz w:val="20"/>
                <w:szCs w:val="20"/>
              </w:rPr>
              <w:t xml:space="preserve">Check</w:t>
            </w:r>
          </w:p>
        </w:tc>
        <w:tc>
          <w:tcPr>
            <w:tcW w:type="dxa" w:w="2200"/>
            <w:shd w:fill="4A2634" w:val="clear"/>
            <w:tcMar>
              <w:top w:type="dxa" w:w="80"/>
              <w:left w:type="dxa" w:w="120"/>
              <w:bottom w:type="dxa" w:w="80"/>
              <w:right w:type="dxa" w:w="120"/>
            </w:tcMar>
            <w:vAlign w:val="center"/>
          </w:tcPr>
          <w:p>
            <w:pPr>
              <w:jc w:val="left"/>
            </w:pPr>
            <w:r>
              <w:rPr>
                <w:b/>
                <w:bCs/>
                <w:color w:val="FFFFFF"/>
                <w:sz w:val="20"/>
                <w:szCs w:val="20"/>
              </w:rPr>
              <w:t xml:space="preserve">Result</w:t>
            </w:r>
          </w:p>
        </w:tc>
        <w:tc>
          <w:tcPr>
            <w:tcW w:type="dxa" w:w="4480"/>
            <w:shd w:fill="4A2634"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Env vars present (isSupabaseConfigured)</w:t>
            </w:r>
          </w:p>
        </w:tc>
        <w:tc>
          <w:tcPr>
            <w:tcW w:type="dxa" w:w="2200"/>
            <w:tcMar>
              <w:top w:type="dxa" w:w="80"/>
              <w:left w:type="dxa" w:w="120"/>
              <w:bottom w:type="dxa" w:w="80"/>
              <w:right w:type="dxa" w:w="120"/>
            </w:tcMar>
            <w:vAlign w:val="center"/>
          </w:tcPr>
          <w:p>
            <w:pPr>
              <w:jc w:val="left"/>
            </w:pPr>
            <w:r>
              <w:rPr>
                <w:b/>
                <w:bCs/>
                <w:color w:val="1E7A34"/>
                <w:sz w:val="20"/>
                <w:szCs w:val="20"/>
              </w:rPr>
              <w:t xml:space="preserve">PASS</w:t>
            </w:r>
          </w:p>
        </w:tc>
        <w:tc>
          <w:tcPr>
            <w:tcW w:type="dxa" w:w="4480"/>
            <w:tcMar>
              <w:top w:type="dxa" w:w="80"/>
              <w:left w:type="dxa" w:w="120"/>
              <w:bottom w:type="dxa" w:w="80"/>
              <w:right w:type="dxa" w:w="120"/>
            </w:tcMar>
            <w:vAlign w:val="center"/>
          </w:tcPr>
          <w:p>
            <w:pPr>
              <w:jc w:val="left"/>
            </w:pPr>
            <w:r>
              <w:rPr>
                <w:b w:val="false"/>
                <w:bCs w:val="false"/>
                <w:sz w:val="20"/>
                <w:szCs w:val="20"/>
              </w:rPr>
              <w:t xml:space="preserve">VITE_SUPABASE_URL and VITE_SUPABASE_ANON_KEY both non-empty.</w:t>
            </w:r>
          </w:p>
        </w:tc>
      </w:tr>
      <w:tr>
        <w:tc>
          <w:tcPr>
            <w:tcW w:type="dxa" w:w="3400"/>
            <w:shd w:fill="F7F1F2" w:val="clear"/>
            <w:tcMar>
              <w:top w:type="dxa" w:w="80"/>
              <w:left w:type="dxa" w:w="120"/>
              <w:bottom w:type="dxa" w:w="80"/>
              <w:right w:type="dxa" w:w="120"/>
            </w:tcMar>
            <w:vAlign w:val="center"/>
          </w:tcPr>
          <w:p>
            <w:pPr>
              <w:jc w:val="left"/>
            </w:pPr>
            <w:r>
              <w:rPr>
                <w:b w:val="false"/>
                <w:bCs w:val="false"/>
                <w:sz w:val="20"/>
                <w:szCs w:val="20"/>
              </w:rPr>
              <w:t xml:space="preserve">Supabase URL valid (first attempt)</w:t>
            </w:r>
          </w:p>
        </w:tc>
        <w:tc>
          <w:tcPr>
            <w:tcW w:type="dxa" w:w="2200"/>
            <w:shd w:fill="F7F1F2" w:val="clear"/>
            <w:tcMar>
              <w:top w:type="dxa" w:w="80"/>
              <w:left w:type="dxa" w:w="120"/>
              <w:bottom w:type="dxa" w:w="80"/>
              <w:right w:type="dxa" w:w="120"/>
            </w:tcMar>
            <w:vAlign w:val="center"/>
          </w:tcPr>
          <w:p>
            <w:pPr>
              <w:jc w:val="left"/>
            </w:pPr>
            <w:r>
              <w:rPr>
                <w:b/>
                <w:bCs/>
                <w:color w:val="B3261E"/>
                <w:sz w:val="20"/>
                <w:szCs w:val="20"/>
              </w:rPr>
              <w:t xml:space="preserve">FAIL</w:t>
            </w:r>
          </w:p>
        </w:tc>
        <w:tc>
          <w:tcPr>
            <w:tcW w:type="dxa" w:w="4480"/>
            <w:shd w:fill="F7F1F2" w:val="clear"/>
            <w:tcMar>
              <w:top w:type="dxa" w:w="80"/>
              <w:left w:type="dxa" w:w="120"/>
              <w:bottom w:type="dxa" w:w="80"/>
              <w:right w:type="dxa" w:w="120"/>
            </w:tcMar>
            <w:vAlign w:val="center"/>
          </w:tcPr>
          <w:p>
            <w:pPr>
              <w:jc w:val="left"/>
            </w:pPr>
            <w:r>
              <w:rPr>
                <w:b w:val="false"/>
                <w:bCs w:val="false"/>
                <w:sz w:val="20"/>
                <w:szCs w:val="20"/>
              </w:rPr>
              <w:t xml:space="preserve">URL was still the literal placeholder “your_supabase_url” — app crashed on load.</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Paystack public key read by frontend</w:t>
            </w:r>
          </w:p>
        </w:tc>
        <w:tc>
          <w:tcPr>
            <w:tcW w:type="dxa" w:w="2200"/>
            <w:tcMar>
              <w:top w:type="dxa" w:w="80"/>
              <w:left w:type="dxa" w:w="120"/>
              <w:bottom w:type="dxa" w:w="80"/>
              <w:right w:type="dxa" w:w="120"/>
            </w:tcMar>
            <w:vAlign w:val="center"/>
          </w:tcPr>
          <w:p>
            <w:pPr>
              <w:jc w:val="left"/>
            </w:pPr>
            <w:r>
              <w:rPr>
                <w:b/>
                <w:bCs/>
                <w:color w:val="1E7A34"/>
                <w:sz w:val="20"/>
                <w:szCs w:val="20"/>
              </w:rPr>
              <w:t xml:space="preserve">PASS</w:t>
            </w:r>
          </w:p>
        </w:tc>
        <w:tc>
          <w:tcPr>
            <w:tcW w:type="dxa" w:w="4480"/>
            <w:tcMar>
              <w:top w:type="dxa" w:w="80"/>
              <w:left w:type="dxa" w:w="120"/>
              <w:bottom w:type="dxa" w:w="80"/>
              <w:right w:type="dxa" w:w="120"/>
            </w:tcMar>
            <w:vAlign w:val="center"/>
          </w:tcPr>
          <w:p>
            <w:pPr>
              <w:jc w:val="left"/>
            </w:pPr>
            <w:r>
              <w:rPr>
                <w:b w:val="false"/>
                <w:bCs w:val="false"/>
                <w:sz w:val="20"/>
                <w:szCs w:val="20"/>
              </w:rPr>
              <w:t xml:space="preserve">Present, non-empty, confirmed inlined into the production bundle.</w:t>
            </w:r>
          </w:p>
        </w:tc>
      </w:tr>
      <w:tr>
        <w:tc>
          <w:tcPr>
            <w:tcW w:type="dxa" w:w="3400"/>
            <w:shd w:fill="F7F1F2" w:val="clear"/>
            <w:tcMar>
              <w:top w:type="dxa" w:w="80"/>
              <w:left w:type="dxa" w:w="120"/>
              <w:bottom w:type="dxa" w:w="80"/>
              <w:right w:type="dxa" w:w="120"/>
            </w:tcMar>
            <w:vAlign w:val="center"/>
          </w:tcPr>
          <w:p>
            <w:pPr>
              <w:jc w:val="left"/>
            </w:pPr>
            <w:r>
              <w:rPr>
                <w:b w:val="false"/>
                <w:bCs w:val="false"/>
                <w:sz w:val="20"/>
                <w:szCs w:val="20"/>
              </w:rPr>
              <w:t xml:space="preserve">Build &amp; lint (with placeholder URL)</w:t>
            </w:r>
          </w:p>
        </w:tc>
        <w:tc>
          <w:tcPr>
            <w:tcW w:type="dxa" w:w="2200"/>
            <w:shd w:fill="F7F1F2" w:val="clear"/>
            <w:tcMar>
              <w:top w:type="dxa" w:w="80"/>
              <w:left w:type="dxa" w:w="120"/>
              <w:bottom w:type="dxa" w:w="80"/>
              <w:right w:type="dxa" w:w="120"/>
            </w:tcMar>
            <w:vAlign w:val="center"/>
          </w:tcPr>
          <w:p>
            <w:pPr>
              <w:jc w:val="left"/>
            </w:pPr>
            <w:r>
              <w:rPr>
                <w:b/>
                <w:bCs/>
                <w:color w:val="1E7A34"/>
                <w:sz w:val="20"/>
                <w:szCs w:val="20"/>
              </w:rPr>
              <w:t xml:space="preserve">PASS</w:t>
            </w:r>
          </w:p>
        </w:tc>
        <w:tc>
          <w:tcPr>
            <w:tcW w:type="dxa" w:w="4480"/>
            <w:shd w:fill="F7F1F2" w:val="clear"/>
            <w:tcMar>
              <w:top w:type="dxa" w:w="80"/>
              <w:left w:type="dxa" w:w="120"/>
              <w:bottom w:type="dxa" w:w="80"/>
              <w:right w:type="dxa" w:w="120"/>
            </w:tcMar>
            <w:vAlign w:val="center"/>
          </w:tcPr>
          <w:p>
            <w:pPr>
              <w:jc w:val="left"/>
            </w:pPr>
            <w:r>
              <w:rPr>
                <w:b w:val="false"/>
                <w:bCs w:val="false"/>
                <w:sz w:val="20"/>
                <w:szCs w:val="20"/>
              </w:rPr>
              <w:t xml:space="preserve">Build/lint/type-check succeed regardless — the failure only appears at runtime.</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Browser console (with placeholder URL)</w:t>
            </w:r>
          </w:p>
        </w:tc>
        <w:tc>
          <w:tcPr>
            <w:tcW w:type="dxa" w:w="2200"/>
            <w:tcMar>
              <w:top w:type="dxa" w:w="80"/>
              <w:left w:type="dxa" w:w="120"/>
              <w:bottom w:type="dxa" w:w="80"/>
              <w:right w:type="dxa" w:w="120"/>
            </w:tcMar>
            <w:vAlign w:val="center"/>
          </w:tcPr>
          <w:p>
            <w:pPr>
              <w:jc w:val="left"/>
            </w:pPr>
            <w:r>
              <w:rPr>
                <w:b/>
                <w:bCs/>
                <w:color w:val="B3261E"/>
                <w:sz w:val="20"/>
                <w:szCs w:val="20"/>
              </w:rPr>
              <w:t xml:space="preserve">FAIL</w:t>
            </w:r>
          </w:p>
        </w:tc>
        <w:tc>
          <w:tcPr>
            <w:tcW w:type="dxa" w:w="4480"/>
            <w:tcMar>
              <w:top w:type="dxa" w:w="80"/>
              <w:left w:type="dxa" w:w="120"/>
              <w:bottom w:type="dxa" w:w="80"/>
              <w:right w:type="dxa" w:w="120"/>
            </w:tcMar>
            <w:vAlign w:val="center"/>
          </w:tcPr>
          <w:p>
            <w:pPr>
              <w:jc w:val="left"/>
            </w:pPr>
            <w:r>
              <w:rPr>
                <w:b w:val="false"/>
                <w:bCs w:val="false"/>
                <w:sz w:val="20"/>
                <w:szCs w:val="20"/>
              </w:rPr>
              <w:t xml:space="preserve">Uncaught error: “Invalid supabaseUrl: Must be a valid HTTP or HTTPS URL.” App rendered blank.</w:t>
            </w:r>
          </w:p>
        </w:tc>
      </w:tr>
      <w:tr>
        <w:tc>
          <w:tcPr>
            <w:tcW w:type="dxa" w:w="3400"/>
            <w:shd w:fill="F7F1F2" w:val="clear"/>
            <w:tcMar>
              <w:top w:type="dxa" w:w="80"/>
              <w:left w:type="dxa" w:w="120"/>
              <w:bottom w:type="dxa" w:w="80"/>
              <w:right w:type="dxa" w:w="120"/>
            </w:tcMar>
            <w:vAlign w:val="center"/>
          </w:tcPr>
          <w:p>
            <w:pPr>
              <w:jc w:val="left"/>
            </w:pPr>
            <w:r>
              <w:rPr>
                <w:b w:val="false"/>
                <w:bCs w:val="false"/>
                <w:sz w:val="20"/>
                <w:szCs w:val="20"/>
              </w:rPr>
              <w:t xml:space="preserve">Supabase project reachable (after URL fixed)</w:t>
            </w:r>
          </w:p>
        </w:tc>
        <w:tc>
          <w:tcPr>
            <w:tcW w:type="dxa" w:w="2200"/>
            <w:shd w:fill="F7F1F2" w:val="clear"/>
            <w:tcMar>
              <w:top w:type="dxa" w:w="80"/>
              <w:left w:type="dxa" w:w="120"/>
              <w:bottom w:type="dxa" w:w="80"/>
              <w:right w:type="dxa" w:w="120"/>
            </w:tcMar>
            <w:vAlign w:val="center"/>
          </w:tcPr>
          <w:p>
            <w:pPr>
              <w:jc w:val="left"/>
            </w:pPr>
            <w:r>
              <w:rPr>
                <w:b/>
                <w:bCs/>
                <w:color w:val="1E7A34"/>
                <w:sz w:val="20"/>
                <w:szCs w:val="20"/>
              </w:rPr>
              <w:t xml:space="preserve">PASS</w:t>
            </w:r>
          </w:p>
        </w:tc>
        <w:tc>
          <w:tcPr>
            <w:tcW w:type="dxa" w:w="4480"/>
            <w:shd w:fill="F7F1F2" w:val="clear"/>
            <w:tcMar>
              <w:top w:type="dxa" w:w="80"/>
              <w:left w:type="dxa" w:w="120"/>
              <w:bottom w:type="dxa" w:w="80"/>
              <w:right w:type="dxa" w:w="120"/>
            </w:tcMar>
            <w:vAlign w:val="center"/>
          </w:tcPr>
          <w:p>
            <w:pPr>
              <w:jc w:val="left"/>
            </w:pPr>
            <w:r>
              <w:rPr>
                <w:b w:val="false"/>
                <w:bCs w:val="false"/>
                <w:sz w:val="20"/>
                <w:szCs w:val="20"/>
              </w:rPr>
              <w:t xml:space="preserve">DNS resolves, TLS handshake succeeds, project responds with valid PostgREST JSON.</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Anon / publishable key accepted by project</w:t>
            </w:r>
          </w:p>
        </w:tc>
        <w:tc>
          <w:tcPr>
            <w:tcW w:type="dxa" w:w="2200"/>
            <w:tcMar>
              <w:top w:type="dxa" w:w="80"/>
              <w:left w:type="dxa" w:w="120"/>
              <w:bottom w:type="dxa" w:w="80"/>
              <w:right w:type="dxa" w:w="120"/>
            </w:tcMar>
            <w:vAlign w:val="center"/>
          </w:tcPr>
          <w:p>
            <w:pPr>
              <w:jc w:val="left"/>
            </w:pPr>
            <w:r>
              <w:rPr>
                <w:b/>
                <w:bCs/>
                <w:color w:val="1E7A34"/>
                <w:sz w:val="20"/>
                <w:szCs w:val="20"/>
              </w:rPr>
              <w:t xml:space="preserve">PASS</w:t>
            </w:r>
          </w:p>
        </w:tc>
        <w:tc>
          <w:tcPr>
            <w:tcW w:type="dxa" w:w="4480"/>
            <w:tcMar>
              <w:top w:type="dxa" w:w="80"/>
              <w:left w:type="dxa" w:w="120"/>
              <w:bottom w:type="dxa" w:w="80"/>
              <w:right w:type="dxa" w:w="120"/>
            </w:tcMar>
            <w:vAlign w:val="center"/>
          </w:tcPr>
          <w:p>
            <w:pPr>
              <w:jc w:val="left"/>
            </w:pPr>
            <w:r>
              <w:rPr>
                <w:b w:val="false"/>
                <w:bCs w:val="false"/>
                <w:sz w:val="20"/>
                <w:szCs w:val="20"/>
              </w:rPr>
              <w:t xml:space="preserve">Got a schema-level error (404 PGRST205), not an auth error (401) — the key itself is valid.</w:t>
            </w:r>
          </w:p>
        </w:tc>
      </w:tr>
      <w:tr>
        <w:tc>
          <w:tcPr>
            <w:tcW w:type="dxa" w:w="3400"/>
            <w:shd w:fill="F7F1F2" w:val="clear"/>
            <w:tcMar>
              <w:top w:type="dxa" w:w="80"/>
              <w:left w:type="dxa" w:w="120"/>
              <w:bottom w:type="dxa" w:w="80"/>
              <w:right w:type="dxa" w:w="120"/>
            </w:tcMar>
            <w:vAlign w:val="center"/>
          </w:tcPr>
          <w:p>
            <w:pPr>
              <w:jc w:val="left"/>
            </w:pPr>
            <w:r>
              <w:rPr>
                <w:b w:val="false"/>
                <w:bCs w:val="false"/>
                <w:sz w:val="20"/>
                <w:szCs w:val="20"/>
              </w:rPr>
              <w:t xml:space="preserve">Database schema deployed</w:t>
            </w:r>
          </w:p>
        </w:tc>
        <w:tc>
          <w:tcPr>
            <w:tcW w:type="dxa" w:w="2200"/>
            <w:shd w:fill="F7F1F2" w:val="clear"/>
            <w:tcMar>
              <w:top w:type="dxa" w:w="80"/>
              <w:left w:type="dxa" w:w="120"/>
              <w:bottom w:type="dxa" w:w="80"/>
              <w:right w:type="dxa" w:w="120"/>
            </w:tcMar>
            <w:vAlign w:val="center"/>
          </w:tcPr>
          <w:p>
            <w:pPr>
              <w:jc w:val="left"/>
            </w:pPr>
            <w:r>
              <w:rPr>
                <w:b/>
                <w:bCs/>
                <w:color w:val="B3261E"/>
                <w:sz w:val="20"/>
                <w:szCs w:val="20"/>
              </w:rPr>
              <w:t xml:space="preserve">FAIL</w:t>
            </w:r>
          </w:p>
        </w:tc>
        <w:tc>
          <w:tcPr>
            <w:tcW w:type="dxa" w:w="4480"/>
            <w:shd w:fill="F7F1F2" w:val="clear"/>
            <w:tcMar>
              <w:top w:type="dxa" w:w="80"/>
              <w:left w:type="dxa" w:w="120"/>
              <w:bottom w:type="dxa" w:w="80"/>
              <w:right w:type="dxa" w:w="120"/>
            </w:tcMar>
            <w:vAlign w:val="center"/>
          </w:tcPr>
          <w:p>
            <w:pPr>
              <w:jc w:val="left"/>
            </w:pPr>
            <w:r>
              <w:rPr>
                <w:b w:val="false"/>
                <w:bCs w:val="false"/>
                <w:sz w:val="20"/>
                <w:szCs w:val="20"/>
              </w:rPr>
              <w:t xml:space="preserve">categories, products, and subscribers tables do not exist yet in this project.</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App behavior with real URL + no schema</w:t>
            </w:r>
          </w:p>
        </w:tc>
        <w:tc>
          <w:tcPr>
            <w:tcW w:type="dxa" w:w="2200"/>
            <w:tcMar>
              <w:top w:type="dxa" w:w="80"/>
              <w:left w:type="dxa" w:w="120"/>
              <w:bottom w:type="dxa" w:w="80"/>
              <w:right w:type="dxa" w:w="120"/>
            </w:tcMar>
            <w:vAlign w:val="center"/>
          </w:tcPr>
          <w:p>
            <w:pPr>
              <w:jc w:val="left"/>
            </w:pPr>
            <w:r>
              <w:rPr>
                <w:b/>
                <w:bCs/>
                <w:color w:val="1E7A34"/>
                <w:sz w:val="20"/>
                <w:szCs w:val="20"/>
              </w:rPr>
              <w:t xml:space="preserve">PASS</w:t>
            </w:r>
          </w:p>
        </w:tc>
        <w:tc>
          <w:tcPr>
            <w:tcW w:type="dxa" w:w="4480"/>
            <w:tcMar>
              <w:top w:type="dxa" w:w="80"/>
              <w:left w:type="dxa" w:w="120"/>
              <w:bottom w:type="dxa" w:w="80"/>
              <w:right w:type="dxa" w:w="120"/>
            </w:tcMar>
            <w:vAlign w:val="center"/>
          </w:tcPr>
          <w:p>
            <w:pPr>
              <w:jc w:val="left"/>
            </w:pPr>
            <w:r>
              <w:rPr>
                <w:b w:val="false"/>
                <w:bCs w:val="false"/>
                <w:sz w:val="20"/>
                <w:szCs w:val="20"/>
              </w:rPr>
              <w:t xml:space="preserve">App rebuilt, loaded, and rendered fully — failed table loads are caught and fall back to local data.</w:t>
            </w:r>
          </w:p>
        </w:tc>
      </w:tr>
    </w:tbl>
    <w:p>
      <w:pPr>
        <w:pStyle w:val="Heading1"/>
        <w:spacing w:after="160" w:before="320"/>
      </w:pPr>
      <w:r>
        <w:rPr>
          <w:b/>
          <w:bCs/>
          <w:color w:val="4A2634"/>
          <w:sz w:val="28"/>
          <w:szCs w:val="28"/>
        </w:rPr>
        <w:t xml:space="preserve">3. Round 1 — Initial Configuration Check</w:t>
      </w:r>
    </w:p>
    <w:p>
      <w:pPr>
        <w:pStyle w:val="Heading2"/>
        <w:spacing w:after="120" w:before="240"/>
      </w:pPr>
      <w:r>
        <w:rPr>
          <w:b/>
          <w:bCs/>
          <w:color w:val="4A2634"/>
          <w:sz w:val="24"/>
          <w:szCs w:val="24"/>
        </w:rPr>
        <w:t xml:space="preserve">3.1 What was tested</w:t>
      </w:r>
    </w:p>
    <w:p>
      <w:pPr>
        <w:spacing w:after="160"/>
      </w:pPr>
      <w:r>
        <w:rPr>
          <w:sz w:val="21"/>
          <w:szCs w:val="21"/>
        </w:rPr>
        <w:t xml:space="preserve">The three environment variables in .env were inspected, and the built application was loaded in a browser to observe real runtime behavior, not just static config presence.</w:t>
      </w:r>
    </w:p>
    <w:p>
      <w:pPr>
        <w:pStyle w:val="Heading2"/>
        <w:spacing w:after="120" w:before="240"/>
      </w:pPr>
      <w:r>
        <w:rPr>
          <w:b/>
          <w:bCs/>
          <w:color w:val="4A2634"/>
          <w:sz w:val="24"/>
          <w:szCs w:val="24"/>
        </w:rPr>
        <w:t xml:space="preserve">3.2 Finding: placeholder URL never replaced</w:t>
      </w:r>
    </w:p>
    <w:p>
      <w:pPr>
        <w:spacing w:after="160"/>
      </w:pPr>
      <w:r>
        <w:rPr>
          <w:sz w:val="21"/>
          <w:szCs w:val="21"/>
        </w:rPr>
        <w:t xml:space="preserve">VITE_SUPABASE_URL was still set to the literal placeholder text carried over from .env.example, rather than a real Supabase project URL:</w:t>
      </w:r>
    </w:p>
    <w:p>
      <w:pPr>
        <w:shd w:fill="F3F3F3" w:val="clear"/>
        <w:spacing w:after="160"/>
      </w:pPr>
      <w:r>
        <w:rPr>
          <w:rFonts w:ascii="Consolas" w:cs="Consolas" w:eastAsia="Consolas" w:hAnsi="Consolas"/>
          <w:color w:val="333333"/>
          <w:sz w:val="19"/>
          <w:szCs w:val="19"/>
        </w:rPr>
        <w:t xml:space="preserve">VITE_SUPABASE_URL=your_supabase_url</w:t>
      </w:r>
    </w:p>
    <w:p>
      <w:pPr>
        <w:spacing w:after="160"/>
      </w:pPr>
      <w:r>
        <w:rPr>
          <w:sz w:val="21"/>
          <w:szCs w:val="21"/>
        </w:rPr>
        <w:t xml:space="preserve">Because isSupabaseConfigured only checks that both variables are non-empty strings, this placeholder passed that check — it looked “configured” but was not usable. When the Supabase client was actually initialized with this value, it failed immediately.</w:t>
      </w:r>
    </w:p>
    <w:p>
      <w:pPr>
        <w:pStyle w:val="Heading2"/>
        <w:spacing w:after="120" w:before="240"/>
      </w:pPr>
      <w:r>
        <w:rPr>
          <w:b/>
          <w:bCs/>
          <w:color w:val="4A2634"/>
          <w:sz w:val="24"/>
          <w:szCs w:val="24"/>
        </w:rPr>
        <w:t xml:space="preserve">3.3 Evidence</w:t>
      </w:r>
    </w:p>
    <w:p>
      <w:pPr>
        <w:pStyle w:val="ListParagraph"/>
        <w:numPr>
          <w:ilvl w:val="0"/>
          <w:numId w:val="1"/>
        </w:numPr>
        <w:spacing w:after="80"/>
      </w:pPr>
      <w:r>
        <w:rPr>
          <w:sz w:val="21"/>
          <w:szCs w:val="21"/>
        </w:rPr>
        <w:t xml:space="preserve">Node reproduction: calling createClient(“your_supabase_url”, …) threw: “Invalid supabaseUrl: Must be a valid HTTP or HTTPS URL.”</w:t>
      </w:r>
    </w:p>
    <w:p>
      <w:pPr>
        <w:pStyle w:val="ListParagraph"/>
        <w:numPr>
          <w:ilvl w:val="0"/>
          <w:numId w:val="1"/>
        </w:numPr>
        <w:spacing w:after="80"/>
      </w:pPr>
      <w:r>
        <w:rPr>
          <w:sz w:val="21"/>
          <w:szCs w:val="21"/>
        </w:rPr>
        <w:t xml:space="preserve">Headless browser load of the production build: the same error appeared as an uncaught page error, and the page body/root element rendered completely empty (white screen).</w:t>
      </w:r>
    </w:p>
    <w:p>
      <w:pPr>
        <w:spacing w:after="160"/>
      </w:pPr>
      <w:r>
        <w:rPr>
          <w:sz w:val="21"/>
          <w:szCs w:val="21"/>
        </w:rPr>
        <w:t xml:space="preserve">This confirmed the failure was a genuine, reproducible runtime crash — not a false alarm — caused entirely by the unedited placeholder value, not by any application code defect.</w:t>
      </w:r>
    </w:p>
    <w:p>
      <w:pPr>
        <w:pStyle w:val="Heading1"/>
        <w:spacing w:after="160" w:before="320"/>
      </w:pPr>
      <w:r>
        <w:rPr>
          <w:b/>
          <w:bCs/>
          <w:color w:val="4A2634"/>
          <w:sz w:val="28"/>
          <w:szCs w:val="28"/>
        </w:rPr>
        <w:t xml:space="preserve">4. Fix Applied (by the project owner)</w:t>
      </w:r>
    </w:p>
    <w:p>
      <w:pPr>
        <w:spacing w:after="160"/>
      </w:pPr>
      <w:r>
        <w:rPr>
          <w:sz w:val="21"/>
          <w:szCs w:val="21"/>
        </w:rPr>
        <w:t xml:space="preserve">VITE_SUPABASE_URL was updated to the real project URL. No application code was touched; this was purely a .env correction.</w:t>
      </w:r>
    </w:p>
    <w:p>
      <w:pPr>
        <w:shd w:fill="F3F3F3" w:val="clear"/>
        <w:spacing w:after="160"/>
      </w:pPr>
      <w:r>
        <w:rPr>
          <w:rFonts w:ascii="Consolas" w:cs="Consolas" w:eastAsia="Consolas" w:hAnsi="Consolas"/>
          <w:color w:val="333333"/>
          <w:sz w:val="19"/>
          <w:szCs w:val="19"/>
        </w:rPr>
        <w:t xml:space="preserve">VITE_SUPABASE_URL=https://vmclvqqovoazylisogin.supabase.co</w:t>
      </w:r>
    </w:p>
    <w:p>
      <w:pPr>
        <w:pStyle w:val="Heading1"/>
        <w:spacing w:after="160" w:before="320"/>
      </w:pPr>
      <w:r>
        <w:rPr>
          <w:b/>
          <w:bCs/>
          <w:color w:val="4A2634"/>
          <w:sz w:val="28"/>
          <w:szCs w:val="28"/>
        </w:rPr>
        <w:t xml:space="preserve">5. Round 2 — Live Connection Test (after fix)</w:t>
      </w:r>
    </w:p>
    <w:p>
      <w:pPr>
        <w:pStyle w:val="Heading2"/>
        <w:spacing w:after="120" w:before="240"/>
      </w:pPr>
      <w:r>
        <w:rPr>
          <w:b/>
          <w:bCs/>
          <w:color w:val="4A2634"/>
          <w:sz w:val="24"/>
          <w:szCs w:val="24"/>
        </w:rPr>
        <w:t xml:space="preserve">5.1 Reachability</w:t>
      </w:r>
    </w:p>
    <w:p>
      <w:pPr>
        <w:spacing w:after="160"/>
      </w:pPr>
      <w:r>
        <w:rPr>
          <w:sz w:val="21"/>
          <w:szCs w:val="21"/>
        </w:rPr>
        <w:t xml:space="preserve">A direct HTTPS request was made from outside the browser to the project's REST endpoint using the configured anon/publishable key. DNS resolved, the TLS handshake completed, and the server returned a well-formed JSON response — clear confirmation the project exists and is reachable.</w:t>
      </w:r>
    </w:p>
    <w:p>
      <w:pPr>
        <w:pStyle w:val="Heading2"/>
        <w:spacing w:after="120" w:before="240"/>
      </w:pPr>
      <w:r>
        <w:rPr>
          <w:b/>
          <w:bCs/>
          <w:color w:val="4A2634"/>
          <w:sz w:val="24"/>
          <w:szCs w:val="24"/>
        </w:rPr>
        <w:t xml:space="preserve">5.2 API key validity</w:t>
      </w:r>
    </w:p>
    <w:p>
      <w:pPr>
        <w:spacing w:after="160"/>
      </w:pPr>
      <w:r>
        <w:rPr>
          <w:sz w:val="21"/>
          <w:szCs w:val="21"/>
        </w:rPr>
        <w:t xml:space="preserve">The key was accepted by the project. This matters because an invalid or mistyped key would come back as an HTTP 401 (“Invalid API key”); instead, the responses were HTTP 404 with a schema-level PostgREST error, which only happens once the key has already been authenticated successfully.</w:t>
      </w:r>
    </w:p>
    <w:p>
      <w:pPr>
        <w:pStyle w:val="Heading2"/>
        <w:spacing w:after="120" w:before="240"/>
      </w:pPr>
      <w:r>
        <w:rPr>
          <w:b/>
          <w:bCs/>
          <w:color w:val="4A2634"/>
          <w:sz w:val="24"/>
          <w:szCs w:val="24"/>
        </w:rPr>
        <w:t xml:space="preserve">5.3 Schema / table status</w:t>
      </w:r>
    </w:p>
    <w:p>
      <w:pPr>
        <w:spacing w:after="160"/>
      </w:pPr>
      <w:r>
        <w:rPr>
          <w:sz w:val="21"/>
          <w:szCs w:val="21"/>
        </w:rPr>
        <w:t xml:space="preserve">The three tables the application actually reads from were queried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680"/>
      </w:tblGrid>
      <w:tr>
        <w:tc>
          <w:tcPr>
            <w:tcW w:type="dxa" w:w="2000"/>
            <w:shd w:fill="4A2634" w:val="clear"/>
            <w:tcMar>
              <w:top w:type="dxa" w:w="80"/>
              <w:left w:type="dxa" w:w="120"/>
              <w:bottom w:type="dxa" w:w="80"/>
              <w:right w:type="dxa" w:w="120"/>
            </w:tcMar>
            <w:vAlign w:val="center"/>
          </w:tcPr>
          <w:p>
            <w:pPr>
              <w:jc w:val="left"/>
            </w:pPr>
            <w:r>
              <w:rPr>
                <w:b/>
                <w:bCs/>
                <w:color w:val="FFFFFF"/>
                <w:sz w:val="20"/>
                <w:szCs w:val="20"/>
              </w:rPr>
              <w:t xml:space="preserve">Table queried</w:t>
            </w:r>
          </w:p>
        </w:tc>
        <w:tc>
          <w:tcPr>
            <w:tcW w:type="dxa" w:w="1400"/>
            <w:shd w:fill="4A2634" w:val="clear"/>
            <w:tcMar>
              <w:top w:type="dxa" w:w="80"/>
              <w:left w:type="dxa" w:w="120"/>
              <w:bottom w:type="dxa" w:w="80"/>
              <w:right w:type="dxa" w:w="120"/>
            </w:tcMar>
            <w:vAlign w:val="center"/>
          </w:tcPr>
          <w:p>
            <w:pPr>
              <w:jc w:val="left"/>
            </w:pPr>
            <w:r>
              <w:rPr>
                <w:b/>
                <w:bCs/>
                <w:color w:val="FFFFFF"/>
                <w:sz w:val="20"/>
                <w:szCs w:val="20"/>
              </w:rPr>
              <w:t xml:space="preserve">HTTP status</w:t>
            </w:r>
          </w:p>
        </w:tc>
        <w:tc>
          <w:tcPr>
            <w:tcW w:type="dxa" w:w="6680"/>
            <w:shd w:fill="4A2634" w:val="clear"/>
            <w:tcMar>
              <w:top w:type="dxa" w:w="80"/>
              <w:left w:type="dxa" w:w="120"/>
              <w:bottom w:type="dxa" w:w="80"/>
              <w:right w:type="dxa" w:w="120"/>
            </w:tcMar>
            <w:vAlign w:val="center"/>
          </w:tcPr>
          <w:p>
            <w:pPr>
              <w:jc w:val="left"/>
            </w:pPr>
            <w:r>
              <w:rPr>
                <w:b/>
                <w:bCs/>
                <w:color w:val="FFFFFF"/>
                <w:sz w:val="20"/>
                <w:szCs w:val="20"/>
              </w:rPr>
              <w:t xml:space="preserve">Response</w:t>
            </w:r>
          </w:p>
        </w:tc>
      </w:tr>
      <w:tr>
        <w:tc>
          <w:tcPr>
            <w:tcW w:type="dxa" w:w="2000"/>
            <w:tcMar>
              <w:top w:type="dxa" w:w="80"/>
              <w:left w:type="dxa" w:w="120"/>
              <w:bottom w:type="dxa" w:w="80"/>
              <w:right w:type="dxa" w:w="120"/>
            </w:tcMar>
            <w:vAlign w:val="center"/>
          </w:tcPr>
          <w:p>
            <w:pPr>
              <w:jc w:val="left"/>
            </w:pPr>
            <w:r>
              <w:rPr>
                <w:b w:val="false"/>
                <w:bCs w:val="false"/>
                <w:sz w:val="20"/>
                <w:szCs w:val="20"/>
              </w:rPr>
              <w:t xml:space="preserve">categories</w:t>
            </w:r>
          </w:p>
        </w:tc>
        <w:tc>
          <w:tcPr>
            <w:tcW w:type="dxa" w:w="1400"/>
            <w:tcMar>
              <w:top w:type="dxa" w:w="80"/>
              <w:left w:type="dxa" w:w="120"/>
              <w:bottom w:type="dxa" w:w="80"/>
              <w:right w:type="dxa" w:w="120"/>
            </w:tcMar>
            <w:vAlign w:val="center"/>
          </w:tcPr>
          <w:p>
            <w:pPr>
              <w:jc w:val="left"/>
            </w:pPr>
            <w:r>
              <w:rPr>
                <w:b/>
                <w:bCs/>
                <w:color w:val="B3261E"/>
                <w:sz w:val="20"/>
                <w:szCs w:val="20"/>
              </w:rPr>
              <w:t xml:space="preserve">404</w:t>
            </w:r>
          </w:p>
        </w:tc>
        <w:tc>
          <w:tcPr>
            <w:tcW w:type="dxa" w:w="6680"/>
            <w:tcMar>
              <w:top w:type="dxa" w:w="80"/>
              <w:left w:type="dxa" w:w="120"/>
              <w:bottom w:type="dxa" w:w="80"/>
              <w:right w:type="dxa" w:w="120"/>
            </w:tcMar>
            <w:vAlign w:val="center"/>
          </w:tcPr>
          <w:p>
            <w:pPr>
              <w:jc w:val="left"/>
            </w:pPr>
            <w:r>
              <w:rPr>
                <w:b w:val="false"/>
                <w:bCs w:val="false"/>
                <w:sz w:val="20"/>
                <w:szCs w:val="20"/>
              </w:rPr>
              <w:t xml:space="preserve">PGRST205 — Could not find the table 'public.categories' in the schema cache</w:t>
            </w:r>
          </w:p>
        </w:tc>
      </w:tr>
      <w:tr>
        <w:tc>
          <w:tcPr>
            <w:tcW w:type="dxa" w:w="2000"/>
            <w:shd w:fill="F7F1F2" w:val="clear"/>
            <w:tcMar>
              <w:top w:type="dxa" w:w="80"/>
              <w:left w:type="dxa" w:w="120"/>
              <w:bottom w:type="dxa" w:w="80"/>
              <w:right w:type="dxa" w:w="120"/>
            </w:tcMar>
            <w:vAlign w:val="center"/>
          </w:tcPr>
          <w:p>
            <w:pPr>
              <w:jc w:val="left"/>
            </w:pPr>
            <w:r>
              <w:rPr>
                <w:b w:val="false"/>
                <w:bCs w:val="false"/>
                <w:sz w:val="20"/>
                <w:szCs w:val="20"/>
              </w:rPr>
              <w:t xml:space="preserve">products</w:t>
            </w:r>
          </w:p>
        </w:tc>
        <w:tc>
          <w:tcPr>
            <w:tcW w:type="dxa" w:w="1400"/>
            <w:shd w:fill="F7F1F2" w:val="clear"/>
            <w:tcMar>
              <w:top w:type="dxa" w:w="80"/>
              <w:left w:type="dxa" w:w="120"/>
              <w:bottom w:type="dxa" w:w="80"/>
              <w:right w:type="dxa" w:w="120"/>
            </w:tcMar>
            <w:vAlign w:val="center"/>
          </w:tcPr>
          <w:p>
            <w:pPr>
              <w:jc w:val="left"/>
            </w:pPr>
            <w:r>
              <w:rPr>
                <w:b/>
                <w:bCs/>
                <w:color w:val="B3261E"/>
                <w:sz w:val="20"/>
                <w:szCs w:val="20"/>
              </w:rPr>
              <w:t xml:space="preserve">404</w:t>
            </w:r>
          </w:p>
        </w:tc>
        <w:tc>
          <w:tcPr>
            <w:tcW w:type="dxa" w:w="6680"/>
            <w:shd w:fill="F7F1F2" w:val="clear"/>
            <w:tcMar>
              <w:top w:type="dxa" w:w="80"/>
              <w:left w:type="dxa" w:w="120"/>
              <w:bottom w:type="dxa" w:w="80"/>
              <w:right w:type="dxa" w:w="120"/>
            </w:tcMar>
            <w:vAlign w:val="center"/>
          </w:tcPr>
          <w:p>
            <w:pPr>
              <w:jc w:val="left"/>
            </w:pPr>
            <w:r>
              <w:rPr>
                <w:b w:val="false"/>
                <w:bCs w:val="false"/>
                <w:sz w:val="20"/>
                <w:szCs w:val="20"/>
              </w:rPr>
              <w:t xml:space="preserve">PGRST205 — Could not find the table 'public.products' in the schema cache</w:t>
            </w:r>
          </w:p>
        </w:tc>
      </w:tr>
      <w:tr>
        <w:tc>
          <w:tcPr>
            <w:tcW w:type="dxa" w:w="2000"/>
            <w:tcMar>
              <w:top w:type="dxa" w:w="80"/>
              <w:left w:type="dxa" w:w="120"/>
              <w:bottom w:type="dxa" w:w="80"/>
              <w:right w:type="dxa" w:w="120"/>
            </w:tcMar>
            <w:vAlign w:val="center"/>
          </w:tcPr>
          <w:p>
            <w:pPr>
              <w:jc w:val="left"/>
            </w:pPr>
            <w:r>
              <w:rPr>
                <w:b w:val="false"/>
                <w:bCs w:val="false"/>
                <w:sz w:val="20"/>
                <w:szCs w:val="20"/>
              </w:rPr>
              <w:t xml:space="preserve">subscribers</w:t>
            </w:r>
          </w:p>
        </w:tc>
        <w:tc>
          <w:tcPr>
            <w:tcW w:type="dxa" w:w="1400"/>
            <w:tcMar>
              <w:top w:type="dxa" w:w="80"/>
              <w:left w:type="dxa" w:w="120"/>
              <w:bottom w:type="dxa" w:w="80"/>
              <w:right w:type="dxa" w:w="120"/>
            </w:tcMar>
            <w:vAlign w:val="center"/>
          </w:tcPr>
          <w:p>
            <w:pPr>
              <w:jc w:val="left"/>
            </w:pPr>
            <w:r>
              <w:rPr>
                <w:b/>
                <w:bCs/>
                <w:color w:val="B3261E"/>
                <w:sz w:val="20"/>
                <w:szCs w:val="20"/>
              </w:rPr>
              <w:t xml:space="preserve">404</w:t>
            </w:r>
          </w:p>
        </w:tc>
        <w:tc>
          <w:tcPr>
            <w:tcW w:type="dxa" w:w="6680"/>
            <w:tcMar>
              <w:top w:type="dxa" w:w="80"/>
              <w:left w:type="dxa" w:w="120"/>
              <w:bottom w:type="dxa" w:w="80"/>
              <w:right w:type="dxa" w:w="120"/>
            </w:tcMar>
            <w:vAlign w:val="center"/>
          </w:tcPr>
          <w:p>
            <w:pPr>
              <w:jc w:val="left"/>
            </w:pPr>
            <w:r>
              <w:rPr>
                <w:b w:val="false"/>
                <w:bCs w:val="false"/>
                <w:sz w:val="20"/>
                <w:szCs w:val="20"/>
              </w:rPr>
              <w:t xml:space="preserve">PGRST205 — Could not find the table 'public.subscribers' in the schema cache</w:t>
            </w:r>
          </w:p>
        </w:tc>
      </w:tr>
    </w:tbl>
    <w:p>
      <w:pPr>
        <w:spacing w:after="160"/>
      </w:pPr>
      <w:r>
        <w:rPr>
          <w:sz w:val="21"/>
          <w:szCs w:val="21"/>
        </w:rPr>
        <w:t xml:space="preserve">PGRST205 means PostgREST cannot find that table at all. In short: the connection to the project works, but the SQL migrations that create these tables (supabase/schema.sql and supabase/schema_additions.sql) have not been run against this project yet.</w:t>
      </w:r>
    </w:p>
    <w:p>
      <w:pPr>
        <w:pStyle w:val="Heading2"/>
        <w:spacing w:after="120" w:before="240"/>
      </w:pPr>
      <w:r>
        <w:rPr>
          <w:b/>
          <w:bCs/>
          <w:color w:val="4A2634"/>
          <w:sz w:val="24"/>
          <w:szCs w:val="24"/>
        </w:rPr>
        <w:t xml:space="preserve">5.4 Application behavior under this state</w:t>
      </w:r>
    </w:p>
    <w:p>
      <w:pPr>
        <w:spacing w:after="160"/>
      </w:pPr>
      <w:r>
        <w:rPr>
          <w:sz w:val="21"/>
          <w:szCs w:val="21"/>
        </w:rPr>
        <w:t xml:space="preserve">The application was rebuilt with the corrected .env and loaded again in a browser. Unlike Round 1, the app rendered its full storefront normally — header, hero section, categories, and product grid all displayed. The background requests to the (currently empty) Supabase tables failed as expected, and the app's existing error handling caught those failures and kept the app on its local seed data instead of crashing. This is the intended, designed fallback behavior, and it worked correctly.</w:t>
      </w:r>
    </w:p>
    <w:p>
      <w:pPr>
        <w:pStyle w:val="Heading1"/>
        <w:spacing w:after="160" w:before="320"/>
      </w:pPr>
      <w:r>
        <w:rPr>
          <w:b/>
          <w:bCs/>
          <w:color w:val="4A2634"/>
          <w:sz w:val="28"/>
          <w:szCs w:val="28"/>
        </w:rPr>
        <w:t xml:space="preserve">6. Paystack Configuration Check</w:t>
      </w:r>
    </w:p>
    <w:p>
      <w:pPr>
        <w:spacing w:after="160"/>
      </w:pPr>
      <w:r>
        <w:rPr>
          <w:sz w:val="21"/>
          <w:szCs w:val="21"/>
        </w:rPr>
        <w:t xml:space="preserve">VITE_PAYSTACK_PUBLIC_KEY was confirmed present, non-empty, and correctly inlined into the production JavaScript bundle. isPaystackConfigured will evaluate to true.</w:t>
      </w:r>
    </w:p>
    <w:p>
      <w:pPr>
        <w:pStyle w:val="Heading1"/>
        <w:spacing w:after="160" w:before="320"/>
      </w:pPr>
      <w:r>
        <w:rPr>
          <w:b/>
          <w:bCs/>
          <w:color w:val="4A2634"/>
          <w:sz w:val="28"/>
          <w:szCs w:val="28"/>
        </w:rPr>
        <w:t xml:space="preserve">7. Environment Variables Reference</w:t>
      </w:r>
    </w:p>
    <w:p>
      <w:pPr>
        <w:spacing w:after="160"/>
      </w:pPr>
      <w:r>
        <w:rPr>
          <w:sz w:val="21"/>
          <w:szCs w:val="21"/>
        </w:rPr>
        <w:t xml:space="preserve">Key values below are partially masked; full values were not printed anywhere in this report or in chat.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4480"/>
      </w:tblGrid>
      <w:tr>
        <w:tc>
          <w:tcPr>
            <w:tcW w:type="dxa" w:w="3800"/>
            <w:shd w:fill="4A2634" w:val="clear"/>
            <w:tcMar>
              <w:top w:type="dxa" w:w="80"/>
              <w:left w:type="dxa" w:w="120"/>
              <w:bottom w:type="dxa" w:w="80"/>
              <w:right w:type="dxa" w:w="120"/>
            </w:tcMar>
            <w:vAlign w:val="center"/>
          </w:tcPr>
          <w:p>
            <w:pPr>
              <w:jc w:val="left"/>
            </w:pPr>
            <w:r>
              <w:rPr>
                <w:b/>
                <w:bCs/>
                <w:color w:val="FFFFFF"/>
                <w:sz w:val="20"/>
                <w:szCs w:val="20"/>
              </w:rPr>
              <w:t xml:space="preserve">Variable</w:t>
            </w:r>
          </w:p>
        </w:tc>
        <w:tc>
          <w:tcPr>
            <w:tcW w:type="dxa" w:w="1800"/>
            <w:shd w:fill="4A2634" w:val="clear"/>
            <w:tcMar>
              <w:top w:type="dxa" w:w="80"/>
              <w:left w:type="dxa" w:w="120"/>
              <w:bottom w:type="dxa" w:w="80"/>
              <w:right w:type="dxa" w:w="120"/>
            </w:tcMar>
            <w:vAlign w:val="center"/>
          </w:tcPr>
          <w:p>
            <w:pPr>
              <w:jc w:val="left"/>
            </w:pPr>
            <w:r>
              <w:rPr>
                <w:b/>
                <w:bCs/>
                <w:color w:val="FFFFFF"/>
                <w:sz w:val="20"/>
                <w:szCs w:val="20"/>
              </w:rPr>
              <w:t xml:space="preserve">Status</w:t>
            </w:r>
          </w:p>
        </w:tc>
        <w:tc>
          <w:tcPr>
            <w:tcW w:type="dxa" w:w="4480"/>
            <w:shd w:fill="4A2634" w:val="clear"/>
            <w:tcMar>
              <w:top w:type="dxa" w:w="80"/>
              <w:left w:type="dxa" w:w="120"/>
              <w:bottom w:type="dxa" w:w="80"/>
              <w:right w:type="dxa" w:w="120"/>
            </w:tcMar>
            <w:vAlign w:val="center"/>
          </w:tcPr>
          <w:p>
            <w:pPr>
              <w:jc w:val="left"/>
            </w:pPr>
            <w:r>
              <w:rPr>
                <w:b/>
                <w:bCs/>
                <w:color w:val="FFFFFF"/>
                <w:sz w:val="20"/>
                <w:szCs w:val="20"/>
              </w:rPr>
              <w:t xml:space="preserve">Value observed</w:t>
            </w:r>
          </w:p>
        </w:tc>
      </w:tr>
      <w:tr>
        <w:tc>
          <w:tcPr>
            <w:tcW w:type="dxa" w:w="3800"/>
            <w:tcMar>
              <w:top w:type="dxa" w:w="80"/>
              <w:left w:type="dxa" w:w="120"/>
              <w:bottom w:type="dxa" w:w="80"/>
              <w:right w:type="dxa" w:w="120"/>
            </w:tcMar>
            <w:vAlign w:val="center"/>
          </w:tcPr>
          <w:p>
            <w:pPr>
              <w:jc w:val="left"/>
            </w:pPr>
            <w:r>
              <w:rPr>
                <w:b w:val="false"/>
                <w:bCs w:val="false"/>
                <w:sz w:val="20"/>
                <w:szCs w:val="20"/>
              </w:rPr>
              <w:t xml:space="preserve">VITE_SUPABASE_URL</w:t>
            </w:r>
          </w:p>
        </w:tc>
        <w:tc>
          <w:tcPr>
            <w:tcW w:type="dxa" w:w="1800"/>
            <w:tcMar>
              <w:top w:type="dxa" w:w="80"/>
              <w:left w:type="dxa" w:w="120"/>
              <w:bottom w:type="dxa" w:w="80"/>
              <w:right w:type="dxa" w:w="120"/>
            </w:tcMar>
            <w:vAlign w:val="center"/>
          </w:tcPr>
          <w:p>
            <w:pPr>
              <w:jc w:val="left"/>
            </w:pPr>
            <w:r>
              <w:rPr>
                <w:b/>
                <w:bCs/>
                <w:color w:val="8A6D3B"/>
                <w:sz w:val="20"/>
                <w:szCs w:val="20"/>
              </w:rPr>
              <w:t xml:space="preserve">Fixed</w:t>
            </w:r>
          </w:p>
        </w:tc>
        <w:tc>
          <w:tcPr>
            <w:tcW w:type="dxa" w:w="4480"/>
            <w:tcMar>
              <w:top w:type="dxa" w:w="80"/>
              <w:left w:type="dxa" w:w="120"/>
              <w:bottom w:type="dxa" w:w="80"/>
              <w:right w:type="dxa" w:w="120"/>
            </w:tcMar>
            <w:vAlign w:val="center"/>
          </w:tcPr>
          <w:p>
            <w:pPr>
              <w:jc w:val="left"/>
            </w:pPr>
            <w:r>
              <w:rPr>
                <w:b w:val="false"/>
                <w:bCs w:val="false"/>
                <w:sz w:val="20"/>
                <w:szCs w:val="20"/>
              </w:rPr>
              <w:t xml:space="preserve">Was: “your_supabase_url” (placeholder). Now: https://vmclvqqovoazylisogin.supabase.co</w:t>
            </w:r>
          </w:p>
        </w:tc>
      </w:tr>
      <w:tr>
        <w:tc>
          <w:tcPr>
            <w:tcW w:type="dxa" w:w="3800"/>
            <w:shd w:fill="F7F1F2" w:val="clear"/>
            <w:tcMar>
              <w:top w:type="dxa" w:w="80"/>
              <w:left w:type="dxa" w:w="120"/>
              <w:bottom w:type="dxa" w:w="80"/>
              <w:right w:type="dxa" w:w="120"/>
            </w:tcMar>
            <w:vAlign w:val="center"/>
          </w:tcPr>
          <w:p>
            <w:pPr>
              <w:jc w:val="left"/>
            </w:pPr>
            <w:r>
              <w:rPr>
                <w:b w:val="false"/>
                <w:bCs w:val="false"/>
                <w:sz w:val="20"/>
                <w:szCs w:val="20"/>
              </w:rPr>
              <w:t xml:space="preserve">VITE_SUPABASE_ANON_KEY</w:t>
            </w:r>
          </w:p>
        </w:tc>
        <w:tc>
          <w:tcPr>
            <w:tcW w:type="dxa" w:w="1800"/>
            <w:shd w:fill="F7F1F2" w:val="clear"/>
            <w:tcMar>
              <w:top w:type="dxa" w:w="80"/>
              <w:left w:type="dxa" w:w="120"/>
              <w:bottom w:type="dxa" w:w="80"/>
              <w:right w:type="dxa" w:w="120"/>
            </w:tcMar>
            <w:vAlign w:val="center"/>
          </w:tcPr>
          <w:p>
            <w:pPr>
              <w:jc w:val="left"/>
            </w:pPr>
            <w:r>
              <w:rPr>
                <w:b/>
                <w:bCs/>
                <w:color w:val="1E7A34"/>
                <w:sz w:val="20"/>
                <w:szCs w:val="20"/>
              </w:rPr>
              <w:t xml:space="preserve">OK</w:t>
            </w:r>
          </w:p>
        </w:tc>
        <w:tc>
          <w:tcPr>
            <w:tcW w:type="dxa" w:w="4480"/>
            <w:shd w:fill="F7F1F2" w:val="clear"/>
            <w:tcMar>
              <w:top w:type="dxa" w:w="80"/>
              <w:left w:type="dxa" w:w="120"/>
              <w:bottom w:type="dxa" w:w="80"/>
              <w:right w:type="dxa" w:w="120"/>
            </w:tcMar>
            <w:vAlign w:val="center"/>
          </w:tcPr>
          <w:p>
            <w:pPr>
              <w:jc w:val="left"/>
            </w:pPr>
            <w:r>
              <w:rPr>
                <w:b w:val="false"/>
                <w:bCs w:val="false"/>
                <w:sz w:val="20"/>
                <w:szCs w:val="20"/>
              </w:rPr>
              <w:t xml:space="preserve">sb_publishable_R5mu… (new-format publishable key; value masked in this report)</w:t>
            </w:r>
          </w:p>
        </w:tc>
      </w:tr>
      <w:tr>
        <w:tc>
          <w:tcPr>
            <w:tcW w:type="dxa" w:w="3800"/>
            <w:tcMar>
              <w:top w:type="dxa" w:w="80"/>
              <w:left w:type="dxa" w:w="120"/>
              <w:bottom w:type="dxa" w:w="80"/>
              <w:right w:type="dxa" w:w="120"/>
            </w:tcMar>
            <w:vAlign w:val="center"/>
          </w:tcPr>
          <w:p>
            <w:pPr>
              <w:jc w:val="left"/>
            </w:pPr>
            <w:r>
              <w:rPr>
                <w:b w:val="false"/>
                <w:bCs w:val="false"/>
                <w:sz w:val="20"/>
                <w:szCs w:val="20"/>
              </w:rPr>
              <w:t xml:space="preserve">VITE_PAYSTACK_PUBLIC_KEY</w:t>
            </w:r>
          </w:p>
        </w:tc>
        <w:tc>
          <w:tcPr>
            <w:tcW w:type="dxa" w:w="1800"/>
            <w:tcMar>
              <w:top w:type="dxa" w:w="80"/>
              <w:left w:type="dxa" w:w="120"/>
              <w:bottom w:type="dxa" w:w="80"/>
              <w:right w:type="dxa" w:w="120"/>
            </w:tcMar>
            <w:vAlign w:val="center"/>
          </w:tcPr>
          <w:p>
            <w:pPr>
              <w:jc w:val="left"/>
            </w:pPr>
            <w:r>
              <w:rPr>
                <w:b/>
                <w:bCs/>
                <w:color w:val="1E7A34"/>
                <w:sz w:val="20"/>
                <w:szCs w:val="20"/>
              </w:rPr>
              <w:t xml:space="preserve">OK</w:t>
            </w:r>
          </w:p>
        </w:tc>
        <w:tc>
          <w:tcPr>
            <w:tcW w:type="dxa" w:w="4480"/>
            <w:tcMar>
              <w:top w:type="dxa" w:w="80"/>
              <w:left w:type="dxa" w:w="120"/>
              <w:bottom w:type="dxa" w:w="80"/>
              <w:right w:type="dxa" w:w="120"/>
            </w:tcMar>
            <w:vAlign w:val="center"/>
          </w:tcPr>
          <w:p>
            <w:pPr>
              <w:jc w:val="left"/>
            </w:pPr>
            <w:r>
              <w:rPr>
                <w:b w:val="false"/>
                <w:bCs w:val="false"/>
                <w:sz w:val="20"/>
                <w:szCs w:val="20"/>
              </w:rPr>
              <w:t xml:space="preserve">pk_test_017f… (Paystack test public key; value masked in this report)</w:t>
            </w:r>
          </w:p>
        </w:tc>
      </w:tr>
    </w:tbl>
    <w:p>
      <w:pPr>
        <w:pStyle w:val="Heading1"/>
        <w:spacing w:after="160" w:before="320"/>
      </w:pPr>
      <w:r>
        <w:rPr>
          <w:b/>
          <w:bCs/>
          <w:color w:val="4A2634"/>
          <w:sz w:val="28"/>
          <w:szCs w:val="28"/>
        </w:rPr>
        <w:t xml:space="preserve">8. Recommended Next Steps</w:t>
      </w:r>
    </w:p>
    <w:p>
      <w:pPr>
        <w:pStyle w:val="ListParagraph"/>
        <w:numPr>
          <w:ilvl w:val="0"/>
          <w:numId w:val="1"/>
        </w:numPr>
        <w:spacing w:after="80"/>
      </w:pPr>
      <w:r>
        <w:rPr>
          <w:sz w:val="21"/>
          <w:szCs w:val="21"/>
        </w:rPr>
        <w:t xml:space="preserve">Run supabase/schema.sql in the Supabase SQL editor, then run supabase/schema_additions.sql immediately after it.</w:t>
      </w:r>
    </w:p>
    <w:p>
      <w:pPr>
        <w:pStyle w:val="ListParagraph"/>
        <w:numPr>
          <w:ilvl w:val="0"/>
          <w:numId w:val="1"/>
        </w:numPr>
        <w:spacing w:after="80"/>
      </w:pPr>
      <w:r>
        <w:rPr>
          <w:sz w:val="21"/>
          <w:szCs w:val="21"/>
        </w:rPr>
        <w:t xml:space="preserve">Re-run this same connection test afterward — the categories/products/subscribers queries should return real data (or an empty array) instead of PGRST205 errors.</w:t>
      </w:r>
    </w:p>
    <w:p>
      <w:pPr>
        <w:pStyle w:val="ListParagraph"/>
        <w:numPr>
          <w:ilvl w:val="0"/>
          <w:numId w:val="1"/>
        </w:numPr>
        <w:spacing w:after="80"/>
      </w:pPr>
      <w:r>
        <w:rPr>
          <w:sz w:val="21"/>
          <w:szCs w:val="21"/>
        </w:rPr>
        <w:t xml:space="preserve">Run supabase/functions/checkout and supabase/functions/orders-lookup deployment (supabase functions deploy …) and set the PAYSTACK_SECRET_KEY Edge Function secret before testing a real checkout.</w:t>
      </w:r>
    </w:p>
    <w:p>
      <w:pPr>
        <w:pStyle w:val="ListParagraph"/>
        <w:numPr>
          <w:ilvl w:val="0"/>
          <w:numId w:val="1"/>
        </w:numPr>
        <w:spacing w:after="80"/>
      </w:pPr>
      <w:r>
        <w:rPr>
          <w:sz w:val="21"/>
          <w:szCs w:val="21"/>
        </w:rPr>
        <w:t xml:space="preserve">Create the admin login via Supabase Auth and grant it the admin role, as documented at the bottom of schema_additions.sql, before testing the admin dashboard against live data.</w:t>
      </w:r>
    </w:p>
    <w:p>
      <w:pPr>
        <w:pStyle w:val="ListParagraph"/>
        <w:numPr>
          <w:ilvl w:val="0"/>
          <w:numId w:val="1"/>
        </w:numPr>
        <w:spacing w:after="80"/>
      </w:pPr>
      <w:r>
        <w:rPr>
          <w:sz w:val="21"/>
          <w:szCs w:val="21"/>
        </w:rPr>
        <w:t xml:space="preserve">Once schema is deployed, run a full end-to-end pass: browse the storefront, place a test order, confirm it appears in the admin Orders page, and confirm RLS blocks an anonymous client from reading another customer's order.</w:t>
      </w:r>
    </w:p>
    <w:p>
      <w:pPr>
        <w:pStyle w:val="Heading1"/>
        <w:spacing w:after="160" w:before="320"/>
      </w:pPr>
      <w:r>
        <w:rPr>
          <w:b/>
          <w:bCs/>
          <w:color w:val="4A2634"/>
          <w:sz w:val="28"/>
          <w:szCs w:val="28"/>
        </w:rPr>
        <w:t xml:space="preserve">9. Security Notes</w:t>
      </w:r>
    </w:p>
    <w:p>
      <w:pPr>
        <w:pStyle w:val="ListParagraph"/>
        <w:numPr>
          <w:ilvl w:val="0"/>
          <w:numId w:val="1"/>
        </w:numPr>
        <w:spacing w:after="80"/>
      </w:pPr>
      <w:r>
        <w:rPr>
          <w:sz w:val="21"/>
          <w:szCs w:val="21"/>
        </w:rPr>
        <w:t xml:space="preserve">No secret keys (Paystack secret key, Supabase service_role key) exist anywhere in this project's code or .env — confirmed again during this test.</w:t>
      </w:r>
    </w:p>
    <w:p>
      <w:pPr>
        <w:pStyle w:val="ListParagraph"/>
        <w:numPr>
          <w:ilvl w:val="0"/>
          <w:numId w:val="1"/>
        </w:numPr>
        <w:spacing w:after="80"/>
      </w:pPr>
      <w:r>
        <w:rPr>
          <w:sz w:val="21"/>
          <w:szCs w:val="21"/>
        </w:rPr>
        <w:t xml:space="preserve">The anon/publishable key and Paystack public key are safe to expose in the browser bundle by design; both were only partially shown in this report as a precaution, not because they are classified secrets.</w:t>
      </w:r>
    </w:p>
    <w:p>
      <w:pPr>
        <w:pStyle w:val="ListParagraph"/>
        <w:numPr>
          <w:ilvl w:val="0"/>
          <w:numId w:val="1"/>
        </w:numPr>
        <w:spacing w:after="80"/>
      </w:pPr>
      <w:r>
        <w:rPr>
          <w:sz w:val="21"/>
          <w:szCs w:val="21"/>
        </w:rPr>
        <w:t xml:space="preserve">No code changes were made during this testing session — every finding above was a configuration or data-state issue, resolved (or to be resolved) without touching the application source.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2026-09-05T04:12:54.178Z</dcterms:created>
  <dcterms:modified xsi:type="dcterms:W3CDTF">2026-09-05T04:12:54.178Z</dcterms:modified>
</cp:coreProperties>
</file>

<file path=docProps/custom.xml><?xml version="1.0" encoding="utf-8"?>
<Properties xmlns="http://schemas.openxmlformats.org/officeDocument/2006/custom-properties" xmlns:vt="http://schemas.openxmlformats.org/officeDocument/2006/docPropsVTypes"/>
</file>