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401D8">
      <w:pPr>
        <w:jc w:val="center"/>
        <w:rPr>
          <w:rFonts w:ascii="Arial" w:hAnsi="Arial" w:cs="Arial"/>
          <w:b/>
          <w:bCs/>
          <w:sz w:val="28"/>
          <w:szCs w:val="28"/>
        </w:rPr>
      </w:pPr>
      <w:r>
        <w:rPr>
          <w:rFonts w:ascii="Arial" w:hAnsi="Arial" w:cs="Arial"/>
          <w:b/>
          <w:bCs/>
          <w:sz w:val="28"/>
          <w:szCs w:val="28"/>
        </w:rPr>
        <w:t>INTERNET DAS COISAS</w:t>
      </w:r>
    </w:p>
    <w:p w14:paraId="7F8530B4">
      <w:pPr>
        <w:jc w:val="center"/>
        <w:rPr>
          <w:rFonts w:ascii="Arial" w:hAnsi="Arial" w:cs="Arial"/>
          <w:sz w:val="28"/>
          <w:szCs w:val="28"/>
        </w:rPr>
      </w:pPr>
    </w:p>
    <w:p w14:paraId="74501017">
      <w:pPr>
        <w:jc w:val="center"/>
        <w:rPr>
          <w:rFonts w:ascii="Arial" w:hAnsi="Arial" w:cs="Arial"/>
          <w:sz w:val="28"/>
          <w:szCs w:val="28"/>
        </w:rPr>
      </w:pPr>
    </w:p>
    <w:p w14:paraId="59F8D1F6">
      <w:pPr>
        <w:jc w:val="center"/>
        <w:rPr>
          <w:rFonts w:ascii="Arial" w:hAnsi="Arial" w:cs="Arial"/>
          <w:sz w:val="28"/>
          <w:szCs w:val="28"/>
        </w:rPr>
      </w:pPr>
    </w:p>
    <w:p w14:paraId="3F949B0B">
      <w:pPr>
        <w:jc w:val="center"/>
        <w:rPr>
          <w:rFonts w:ascii="Arial" w:hAnsi="Arial" w:cs="Arial"/>
          <w:sz w:val="28"/>
          <w:szCs w:val="28"/>
        </w:rPr>
      </w:pPr>
    </w:p>
    <w:p w14:paraId="5E61CE29">
      <w:pPr>
        <w:jc w:val="center"/>
        <w:rPr>
          <w:rFonts w:ascii="Arial" w:hAnsi="Arial" w:cs="Arial"/>
          <w:sz w:val="28"/>
          <w:szCs w:val="28"/>
        </w:rPr>
      </w:pPr>
    </w:p>
    <w:p w14:paraId="4855B76C">
      <w:pPr>
        <w:jc w:val="center"/>
        <w:rPr>
          <w:rFonts w:hint="default" w:ascii="Arial" w:hAnsi="Arial" w:cs="Arial"/>
          <w:sz w:val="28"/>
          <w:szCs w:val="28"/>
          <w:lang w:val="pt-BR"/>
        </w:rPr>
      </w:pPr>
      <w:r>
        <w:rPr>
          <w:rFonts w:hint="default" w:ascii="Arial" w:hAnsi="Arial" w:cs="Arial"/>
          <w:sz w:val="28"/>
          <w:szCs w:val="28"/>
          <w:lang w:val="pt-BR"/>
        </w:rPr>
        <w:t>VICTOR YUKIO OUMITSU</w:t>
      </w:r>
    </w:p>
    <w:p w14:paraId="5E5155FB">
      <w:pPr>
        <w:jc w:val="center"/>
        <w:rPr>
          <w:rFonts w:ascii="Arial" w:hAnsi="Arial" w:cs="Arial"/>
          <w:sz w:val="28"/>
          <w:szCs w:val="28"/>
        </w:rPr>
      </w:pPr>
    </w:p>
    <w:p w14:paraId="3F0B19DA">
      <w:pPr>
        <w:jc w:val="center"/>
        <w:rPr>
          <w:rFonts w:ascii="Arial" w:hAnsi="Arial" w:cs="Arial"/>
          <w:sz w:val="28"/>
          <w:szCs w:val="28"/>
        </w:rPr>
      </w:pPr>
    </w:p>
    <w:p w14:paraId="223C7F56">
      <w:pPr>
        <w:jc w:val="center"/>
        <w:rPr>
          <w:rFonts w:ascii="Arial" w:hAnsi="Arial" w:cs="Arial"/>
          <w:sz w:val="28"/>
          <w:szCs w:val="28"/>
        </w:rPr>
      </w:pPr>
    </w:p>
    <w:p w14:paraId="1610AAF8">
      <w:pPr>
        <w:jc w:val="center"/>
        <w:rPr>
          <w:rFonts w:ascii="Arial" w:hAnsi="Arial" w:cs="Arial"/>
          <w:sz w:val="28"/>
          <w:szCs w:val="28"/>
        </w:rPr>
      </w:pPr>
    </w:p>
    <w:p w14:paraId="0124F346">
      <w:pPr>
        <w:jc w:val="center"/>
        <w:rPr>
          <w:rFonts w:ascii="Arial" w:hAnsi="Arial" w:cs="Arial"/>
          <w:sz w:val="28"/>
          <w:szCs w:val="28"/>
        </w:rPr>
      </w:pPr>
      <w:r>
        <w:rPr>
          <w:rFonts w:ascii="Arial" w:hAnsi="Arial" w:cs="Arial"/>
          <w:sz w:val="28"/>
          <w:szCs w:val="28"/>
        </w:rPr>
        <w:t>RESUMO DAS UNIDADES 3 E 4</w:t>
      </w:r>
    </w:p>
    <w:p w14:paraId="2E18E927">
      <w:pPr>
        <w:jc w:val="center"/>
        <w:rPr>
          <w:rFonts w:ascii="Arial" w:hAnsi="Arial" w:cs="Arial"/>
          <w:sz w:val="28"/>
          <w:szCs w:val="28"/>
        </w:rPr>
      </w:pPr>
    </w:p>
    <w:p w14:paraId="23E618C1">
      <w:pPr>
        <w:jc w:val="center"/>
        <w:rPr>
          <w:rFonts w:ascii="Arial" w:hAnsi="Arial" w:cs="Arial"/>
          <w:sz w:val="28"/>
          <w:szCs w:val="28"/>
        </w:rPr>
      </w:pPr>
    </w:p>
    <w:p w14:paraId="20D50FA8">
      <w:pPr>
        <w:jc w:val="center"/>
        <w:rPr>
          <w:rFonts w:ascii="Arial" w:hAnsi="Arial" w:cs="Arial"/>
          <w:sz w:val="28"/>
          <w:szCs w:val="28"/>
        </w:rPr>
      </w:pPr>
    </w:p>
    <w:p w14:paraId="5C7E4863">
      <w:pPr>
        <w:jc w:val="center"/>
        <w:rPr>
          <w:rFonts w:ascii="Arial" w:hAnsi="Arial" w:cs="Arial"/>
          <w:sz w:val="28"/>
          <w:szCs w:val="28"/>
        </w:rPr>
      </w:pPr>
    </w:p>
    <w:p w14:paraId="24F84F30">
      <w:pPr>
        <w:jc w:val="center"/>
        <w:rPr>
          <w:rFonts w:ascii="Arial" w:hAnsi="Arial" w:cs="Arial"/>
          <w:sz w:val="28"/>
          <w:szCs w:val="28"/>
        </w:rPr>
      </w:pPr>
    </w:p>
    <w:p w14:paraId="3236DEE7">
      <w:pPr>
        <w:jc w:val="center"/>
        <w:rPr>
          <w:rFonts w:ascii="Arial" w:hAnsi="Arial" w:cs="Arial"/>
          <w:sz w:val="28"/>
          <w:szCs w:val="28"/>
        </w:rPr>
      </w:pPr>
    </w:p>
    <w:p w14:paraId="14B9936F">
      <w:pPr>
        <w:jc w:val="center"/>
        <w:rPr>
          <w:rFonts w:ascii="Arial" w:hAnsi="Arial" w:cs="Arial"/>
          <w:sz w:val="28"/>
          <w:szCs w:val="28"/>
        </w:rPr>
      </w:pPr>
    </w:p>
    <w:p w14:paraId="4276641D">
      <w:pPr>
        <w:jc w:val="center"/>
        <w:rPr>
          <w:rFonts w:ascii="Arial" w:hAnsi="Arial" w:cs="Arial"/>
          <w:sz w:val="28"/>
          <w:szCs w:val="28"/>
        </w:rPr>
      </w:pPr>
    </w:p>
    <w:p w14:paraId="2E333DB5">
      <w:pPr>
        <w:jc w:val="center"/>
        <w:rPr>
          <w:rFonts w:ascii="Arial" w:hAnsi="Arial" w:cs="Arial"/>
          <w:sz w:val="28"/>
          <w:szCs w:val="28"/>
        </w:rPr>
      </w:pPr>
    </w:p>
    <w:p w14:paraId="024810E6">
      <w:pPr>
        <w:jc w:val="center"/>
        <w:rPr>
          <w:rFonts w:ascii="Arial" w:hAnsi="Arial" w:cs="Arial"/>
          <w:sz w:val="28"/>
          <w:szCs w:val="28"/>
        </w:rPr>
      </w:pPr>
    </w:p>
    <w:p w14:paraId="6978B945">
      <w:pPr>
        <w:jc w:val="center"/>
        <w:rPr>
          <w:rFonts w:ascii="Arial" w:hAnsi="Arial" w:cs="Arial"/>
          <w:sz w:val="28"/>
          <w:szCs w:val="28"/>
        </w:rPr>
      </w:pPr>
    </w:p>
    <w:p w14:paraId="5CE91221">
      <w:pPr>
        <w:jc w:val="center"/>
        <w:rPr>
          <w:rFonts w:ascii="Arial" w:hAnsi="Arial" w:cs="Arial"/>
          <w:sz w:val="28"/>
          <w:szCs w:val="28"/>
        </w:rPr>
      </w:pPr>
    </w:p>
    <w:p w14:paraId="0C0AE9C8">
      <w:pPr>
        <w:jc w:val="center"/>
        <w:rPr>
          <w:rFonts w:ascii="Arial" w:hAnsi="Arial" w:cs="Arial"/>
          <w:sz w:val="28"/>
          <w:szCs w:val="28"/>
        </w:rPr>
      </w:pPr>
    </w:p>
    <w:p w14:paraId="2533B268">
      <w:pPr>
        <w:jc w:val="center"/>
        <w:rPr>
          <w:rFonts w:ascii="Arial" w:hAnsi="Arial" w:cs="Arial"/>
          <w:sz w:val="28"/>
          <w:szCs w:val="28"/>
        </w:rPr>
      </w:pPr>
    </w:p>
    <w:p w14:paraId="6FAFF489">
      <w:pPr>
        <w:jc w:val="center"/>
        <w:rPr>
          <w:rFonts w:ascii="Arial" w:hAnsi="Arial" w:cs="Arial"/>
          <w:b/>
          <w:bCs/>
          <w:sz w:val="28"/>
          <w:szCs w:val="28"/>
        </w:rPr>
      </w:pPr>
    </w:p>
    <w:p w14:paraId="587B56E2">
      <w:pPr>
        <w:jc w:val="center"/>
        <w:rPr>
          <w:rFonts w:ascii="Arial" w:hAnsi="Arial" w:cs="Arial"/>
          <w:b/>
          <w:bCs/>
          <w:sz w:val="28"/>
          <w:szCs w:val="28"/>
        </w:rPr>
      </w:pPr>
      <w:r>
        <w:rPr>
          <w:rFonts w:ascii="Arial" w:hAnsi="Arial" w:cs="Arial"/>
          <w:b/>
          <w:bCs/>
          <w:sz w:val="28"/>
          <w:szCs w:val="28"/>
        </w:rPr>
        <w:t>UNIDADE 3</w:t>
      </w:r>
    </w:p>
    <w:p w14:paraId="1AB9CF56">
      <w:pPr>
        <w:rPr>
          <w:rFonts w:ascii="Arial" w:hAnsi="Arial" w:cs="Arial"/>
          <w:b/>
          <w:bCs/>
          <w:sz w:val="28"/>
          <w:szCs w:val="28"/>
        </w:rPr>
      </w:pPr>
    </w:p>
    <w:p w14:paraId="72EE8008">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Na Unidade 3, aprofundei meus estudos sobre a Internet das Coisas conhecendo uma nova plataforma de prototipagem: o Raspberry Pi. Diferentemente do Arduino, que eu já havia estudado na Unidade 2, o Raspberry Pi me apresentou um universo de possibilidades muito mais amplo, já que ele funciona como um minicomputador completo, com sistema operacional, portas de entrada e saída mais robustas e capacidade de processamento muito superior. Ao estudar essa plataforma, percebi que posso desenvolver aplicações IoT que exigem mais autonomia, mais processamento local e integração direta com sistemas de nuvem.</w:t>
      </w:r>
    </w:p>
    <w:p w14:paraId="136051FD">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Com o avanço desta unidade, comecei a entender como o Raspberry Pi se encaixa dentro da arquitetura da IoT, atuando como um elo entre sensores, atuadores e serviços em nuvem. Esse aprendizado foi essencial porque ampliou minha visão sobre o papel do processamento distribuído. Eu já sabia que sensores coletam dados e atuadores executam ações, mas, até então, não tinha explorado profundamente o que acontece entre essas duas etapas. Com o Raspberry Pi, passei a compreender que posso realizar, localmente, uma análise prévia dos dados antes mesmo de enviá-los para a nuvem.</w:t>
      </w:r>
    </w:p>
    <w:p w14:paraId="1102CE3F">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Outro conceito fundamental que estudei nesta unidade foi a computação em nuvem aplicada à IoT. Aprendi que a nuvem não serve apenas como armazenamento, mas também como um ambiente capaz de processar dados, realizar análises mais complexas, aplicar algoritmos e disponibilizar interfaces para controle remoto. A nuvem fornece escalabilidade, o que significa que uma aplicação inicialmente pequena pode ser expandida para dezenas, centenas ou até milhares de dispositivos, sem que seja necessário remodelar tudo. Entender essa dinâmica foi crucial para que eu pudesse visualizar como projetos IoT crescem e se tornam soluções reais no mercado.</w:t>
      </w:r>
    </w:p>
    <w:p w14:paraId="0A46AD06">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Durante a leitura e os exercícios, pude observar que, quando integro o Raspberry Pi com a nuvem, tenho a possibilidade de criar aplicações muito mais completas. Nessa unidade, cheguei ao ponto de implementar uma aplicação que conecta sensores e atuadores ao Raspberry Pi e, ao mesmo tempo, interage com uma plataforma em nuvem, consolidando todos os conceitos que venho aprendendo desde o início da disciplina. Essa implementação me permitiu compreender como os dados são coletados, enviados, armazenados, processados e transformados em informações úteis.</w:t>
      </w:r>
    </w:p>
    <w:p w14:paraId="135D7AA8">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Com isso, comecei a perceber como funciona o ciclo completo de uma aplicação IoT profissional. Também me dei conta de que a manipulação e a análise dos dados são tão importantes quanto os próprios sensores e atuadores. Afinal, os dados só têm valor quando geram algum tipo de conhecimento ou ação. Na nuvem, posso aplicar algoritmos, usar representações gráficas, criar notificações automáticas e até conectar minha aplicação a outros sistemas mais complexos.</w:t>
      </w:r>
    </w:p>
    <w:p w14:paraId="3EB830F8">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Outro ponto que me chamou a atenção é que, ao trabalhar com nuvem, preciso considerar aspectos como segurança, autenticação, criptografia, controle de acesso e gestão de dispositivos. A unidade não se aprofunda totalmente nesses temas, mas deixa claro que eles são essenciais para qualquer aplicação que envie dados sensíveis para serviços externos.</w:t>
      </w:r>
    </w:p>
    <w:p w14:paraId="2D64080A">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Ao longo dessa unidade, pude reforçar também que a integração entre hardware e software é a essência da IoT. Não basta conectar um sensor ou acionar um motor; é preciso pensar na cadeia completa: coleta, processamento, envio, armazenamento, visualização e resposta. O Raspberry Pi foi apresentado justamente como a plataforma ideal para lidar com as etapas que exigem mais inteligência computacional.</w:t>
      </w:r>
    </w:p>
    <w:p w14:paraId="4820E61E">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sz w:val="24"/>
          <w:szCs w:val="24"/>
        </w:rPr>
      </w:pPr>
      <w:r>
        <w:rPr>
          <w:rFonts w:ascii="Arial" w:hAnsi="Arial" w:cs="Arial" w:eastAsiaTheme="minorHAnsi"/>
          <w:kern w:val="0"/>
          <w:sz w:val="24"/>
          <w:szCs w:val="24"/>
          <w:lang w:val="pt-BR" w:eastAsia="en-US" w:bidi="ar-SA"/>
        </w:rPr>
        <w:t>Finalizando meus estudos dessa unidade, percebi que agora tenho base para desenvolver projetos IoT de verdade — projetos que não ficam restritos a um ambiente físico e fechado, mas que se conectam à nuvem e podem ser acessados de qualquer lugar. Isso amplia enormemente as possibilidades de desenvolvimento. Sinto que, com os conhecimentos adquiridos aqui, posso começar a criar soluções reais e funcionais que podem ser aplicadas em diferentes contextos do cotidiano.</w:t>
      </w:r>
    </w:p>
    <w:p w14:paraId="09AA0C84">
      <w:pPr>
        <w:spacing w:line="360" w:lineRule="auto"/>
        <w:ind w:firstLine="709"/>
        <w:jc w:val="both"/>
        <w:rPr>
          <w:rFonts w:ascii="Arial" w:hAnsi="Arial" w:cs="Arial"/>
          <w:sz w:val="24"/>
          <w:szCs w:val="24"/>
        </w:rPr>
      </w:pPr>
    </w:p>
    <w:p w14:paraId="32B69DAF">
      <w:pPr>
        <w:rPr>
          <w:rFonts w:ascii="Arial" w:hAnsi="Arial" w:cs="Arial"/>
          <w:sz w:val="28"/>
          <w:szCs w:val="28"/>
        </w:rPr>
      </w:pPr>
    </w:p>
    <w:p w14:paraId="094B98A0">
      <w:pPr>
        <w:jc w:val="center"/>
        <w:rPr>
          <w:rFonts w:ascii="Arial" w:hAnsi="Arial" w:cs="Arial"/>
          <w:b/>
          <w:bCs/>
          <w:sz w:val="28"/>
          <w:szCs w:val="28"/>
        </w:rPr>
      </w:pPr>
      <w:r>
        <w:rPr>
          <w:rFonts w:ascii="Arial" w:hAnsi="Arial" w:cs="Arial"/>
          <w:b/>
          <w:bCs/>
          <w:sz w:val="28"/>
          <w:szCs w:val="28"/>
        </w:rPr>
        <w:t>UNIDADE 4</w:t>
      </w:r>
    </w:p>
    <w:p w14:paraId="45B38CEB">
      <w:pPr>
        <w:rPr>
          <w:rFonts w:ascii="Arial" w:hAnsi="Arial" w:cs="Arial"/>
          <w:b/>
          <w:bCs/>
          <w:sz w:val="28"/>
          <w:szCs w:val="28"/>
        </w:rPr>
      </w:pPr>
    </w:p>
    <w:p w14:paraId="653F4132">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Na Unidade 4, avancei para um tema ainda mais complexo e interessante: computação em neblina (fog computing) e computação de borda (edge computing). Até então, eu já havia entendido o papel dos microcontroladores, do Raspberry Pi e da computação em nuvem, mas, nesta unidade, percebi que existe uma camada intermediária entre a borda e a nuvem, necessária para que aplicações IoT funcionem de forma eficiente, rápida e segura.</w:t>
      </w:r>
    </w:p>
    <w:p w14:paraId="7EF96502">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 xml:space="preserve">A computação de borda foi um dos primeiros conceitos que explorei. Nela, o processamento dos dados ocorre o mais próximo possível de onde eles são gerados. Vi que isso é fundamental em aplicações que exigem respostas imediatas, como monitoramento de saúde, automação industrial e veículos autônomos. Como a tomada de decisão precisa ocorrer em frações de segundo, </w:t>
      </w:r>
      <w:bookmarkStart w:id="0" w:name="_GoBack"/>
      <w:bookmarkEnd w:id="0"/>
      <w:r>
        <w:rPr>
          <w:rFonts w:ascii="Arial" w:hAnsi="Arial" w:cs="Arial" w:eastAsiaTheme="minorHAnsi"/>
          <w:kern w:val="0"/>
          <w:sz w:val="24"/>
          <w:szCs w:val="24"/>
          <w:lang w:val="pt-BR" w:eastAsia="en-US" w:bidi="ar-SA"/>
        </w:rPr>
        <w:t>não posso depender exclusivamente da nuvem — o tempo de envio e retorno dos dados pode ser crítico. Com a borda, eu consigo tratar parte das informações localmente, garantindo autonomia mesmo quando a conexão com a internet falha.</w:t>
      </w:r>
    </w:p>
    <w:p w14:paraId="1B4461C8">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Depois disso, estudei a computação em neblina, que funciona como uma camada intermediária entre a borda e a nuvem. Entendi que a neblina distribui o processamento entre vários nós — como roteadores inteligentes, gateways e servidores locais — permitindo que o sistema como um todo se torne mais organizado e eficiente. Essa arquitetura evita sobrecarregar a nuvem e, ao mesmo tempo, reduz o tráfego desnecessário de dados. Percebi que, com a computação em neblina, grandes quantidades de dispositivos IoT podem funcionar de maneira coordenada, dividindo tarefas e tratando os dados de forma mais inteligente.</w:t>
      </w:r>
    </w:p>
    <w:p w14:paraId="2BB541C0">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Outra parte essencial dessa unidade foi o estudo de aplicações reais de IoT. Pude conhecer usos da tecnologia em diversas áreas do conhecimento, desde cidades inteligentes e agricultura de precisão até saúde, segurança e transporte. No entanto, o material deu destaque especial aos veículos conectados, considerados uma das aplicações mais avançadas e críticas da IoT moderna. Aprendi que esses veículos utilizam uma grande quantidade de sensores, atuadores, algoritmos e sistemas de comunicação para se movimentarem com segurança, interagir com o ambiente, analisar condições do trânsito e responder rapidamente a riscos. Aqui ficou muito claro por que a computação em borda é indispensável: esperar por uma resposta da nuvem pode ser inviável quando se trata de controlar um carro em pleno movimento.</w:t>
      </w:r>
    </w:p>
    <w:p w14:paraId="3E93BEAE">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A Unidade 4 também reforçou que, ao chegar até aqui, estou preparado para aplicar todos os conceitos estudados na disciplina: sensores, atuadores, redes, protocolos, segurança, Raspberry Pi, nuvem, borda e neblina. Esta unidade me desafiou a enxergar a IoT não apenas como a soma de dispositivos, mas como um ecossistema completo, distribuído e interligado. Senti que agora sou capaz de analisar problemas reais do cotidiano e propor soluções baseadas em IoT que façam sentido, considerando as melhores práticas e tecnologias adequadas.</w:t>
      </w:r>
    </w:p>
    <w:p w14:paraId="16CD46C8">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Outro ponto que percebi é que, quanto mais complexa a arquitetura, maior a necessidade de segurança, já que cada camada cria novos pontos vulneráveis. Embora a unidade não trate exclusivamente de segurança, ela deixa claro que qualquer aplicação IoT deve considerar esse fator desde o início, seja no processamento local, na neblina ou na comunicação com a nuvem. É um cuidado constante e indispensável em ambientes conectados.</w:t>
      </w:r>
    </w:p>
    <w:p w14:paraId="50F8B656">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Além disso, esta unidade reforçou a importância do pensamento crítico na escolha da arquitetura. Aprendi que não existe uma solução universal: algumas aplicações funcionam muito bem apenas com nuvem; outras exigem processamento na borda; outras ainda se beneficiam de uma combinação das três camadas (borda + neblina + nuvem). O papel do desenvolvedor de IoT — que agora eu começo a entender melhor — é justamente analisar o cenário e escolher a abordagem mais adequada.</w:t>
      </w:r>
    </w:p>
    <w:p w14:paraId="6DF0F9BF">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rPr>
          <w:rFonts w:ascii="Arial" w:hAnsi="Arial" w:cs="Arial" w:eastAsiaTheme="minorHAnsi"/>
          <w:kern w:val="0"/>
          <w:sz w:val="24"/>
          <w:szCs w:val="24"/>
          <w:lang w:val="pt-BR" w:eastAsia="en-US" w:bidi="ar-SA"/>
        </w:rPr>
      </w:pPr>
      <w:r>
        <w:rPr>
          <w:rFonts w:ascii="Arial" w:hAnsi="Arial" w:cs="Arial" w:eastAsiaTheme="minorHAnsi"/>
          <w:kern w:val="0"/>
          <w:sz w:val="24"/>
          <w:szCs w:val="24"/>
          <w:lang w:val="pt-BR" w:eastAsia="en-US" w:bidi="ar-SA"/>
        </w:rPr>
        <w:t>Ao finalizar a leitura da Unidade 4, senti que completei um ciclo. Se na Unidade 1 aprendi os fundamentos, na Unidade 2 entendi os sensores e microcontroladores, na Unidade 3 avancei para computação e nuvem, agora, na Unidade 4, reconheço como tudo se conecta no mundo real. Esta unidade consolidou meu entendimento sobre as arquiteturas distribuídas e me mostrou como aplicar a IoT de maneira prática, eficiente e alinhada às necessidades do mundo atual.</w:t>
      </w:r>
    </w:p>
    <w:p w14:paraId="58077D93">
      <w:pPr>
        <w:rPr>
          <w:rFonts w:ascii="Arial" w:hAnsi="Arial" w:cs="Arial"/>
          <w:b/>
          <w:bCs/>
          <w:sz w:val="28"/>
          <w:szCs w:val="28"/>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624"/>
    <w:rsid w:val="000E2624"/>
    <w:rsid w:val="00266F99"/>
    <w:rsid w:val="00403431"/>
    <w:rsid w:val="00441752"/>
    <w:rsid w:val="008201AD"/>
    <w:rsid w:val="0094365C"/>
    <w:rsid w:val="00A06A17"/>
    <w:rsid w:val="00B12797"/>
    <w:rsid w:val="00B50ECE"/>
    <w:rsid w:val="00C047B5"/>
    <w:rsid w:val="00DE6FE9"/>
    <w:rsid w:val="00F54A7F"/>
    <w:rsid w:val="2BBB7EEF"/>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22"/>
    <w:rPr>
      <w:b/>
      <w:bCs/>
    </w:rPr>
  </w:style>
  <w:style w:type="paragraph" w:styleId="5">
    <w:name w:val="Normal (Web)"/>
    <w:semiHidden/>
    <w:unhideWhenUsed/>
    <w:uiPriority w:val="99"/>
    <w:pPr>
      <w:spacing w:before="0" w:beforeAutospacing="1" w:after="0" w:afterAutospacing="1"/>
      <w:ind w:left="0" w:right="0"/>
      <w:jc w:val="left"/>
    </w:pPr>
    <w:rPr>
      <w:kern w:val="0"/>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1173</Words>
  <Characters>6339</Characters>
  <Lines>52</Lines>
  <Paragraphs>14</Paragraphs>
  <TotalTime>45</TotalTime>
  <ScaleCrop>false</ScaleCrop>
  <LinksUpToDate>false</LinksUpToDate>
  <CharactersWithSpaces>7498</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2025-11-20T21:17:00Z</dcterms:created>
  <dc:creator>Miguel Antonio</dc:creator>
  <cp:lastModifiedBy>05285</cp:lastModifiedBy>
  <dcterms:modified xsi:type="dcterms:W3CDTF">2025-11-21T17:13:17Z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1046-12.2.0.17562</vt:lpwstr>
  </property>
  <property fmtid="{D5CDD505-2E9C-101B-9397-08002B2CF9AE}" pid="3" name="ICV">
    <vt:lpwstr>F7E21E03DF6F423FB5D19ADCE6A31AD0_12</vt:lpwstr>
  </property>
</Properties>
</file>