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2FCE" w14:textId="77777777" w:rsidR="00440C3A" w:rsidRDefault="00000000">
      <w:pPr>
        <w:pStyle w:val="Titulo2"/>
        <w:keepNext/>
        <w:pageBreakBefore w:val="0"/>
      </w:pPr>
      <w:r>
        <w:t>3.2 Alternativas y decisiones de arquitectura</w:t>
      </w:r>
    </w:p>
    <w:tbl>
      <w:tblPr>
        <w:tblStyle w:val="TableGrid"/>
        <w:tblW w:w="8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1900"/>
        <w:gridCol w:w="1900"/>
      </w:tblGrid>
      <w:tr w:rsidR="00440C3A" w14:paraId="02BFA0BC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E78D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ALTERNATIVA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CD7D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CRITERIOS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EFE8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VENTAJAS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534D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LIMITACIONES / RIESGOS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7767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DECISIÓN</w:t>
            </w:r>
          </w:p>
        </w:tc>
      </w:tr>
      <w:tr w:rsidR="00440C3A" w14:paraId="7995107F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Consultar directamente el OLTP.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Pocos componentes y facilidad de instalación.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Evita crear un almacén adicional.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Mezcla consultas operativas y analíticas; las reglas deben repetirse en los reportes.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Descartada: no desarrolla el Data Mart requerido para BI.</w:t>
            </w:r>
          </w:p>
        </w:tc>
      </w:tr>
      <w:tr w:rsidR="00440C3A" w14:paraId="558B27E3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Separar OLTP y Data Mart en SQL Server.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Integridad, reproducción con T-SQL y conexión con Power BI.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Centraliza el ETL, conserva medidas y facilita la conciliación.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Requiere ejecutar la carga y mantener las vistas; no sincroniza automáticamente Clever Cloud.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Seleccionada: corresponde a A&amp;SG_OLTP, A&amp;SG_DataMart y al procedimiento del repositorio.</w:t>
            </w:r>
          </w:p>
        </w:tc>
      </w:tr>
      <w:tr w:rsidR="00440C3A" w14:paraId="7D57A351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Utilizar servicios adicionales en la nube.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Costo, dependencias y facilidad de demostración.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Permite ampliar el acceso remoto en una etapa posterior.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Añade cuentas, configuración y posibles costos que no necesita el alcance actual.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Descartada para T2: se prioriza la solución local de BI.</w:t>
            </w:r>
          </w:p>
        </w:tc>
      </w:tr>
    </w:tbl>
    <w:p>
      <w:hyperlink r:id="rId18">
        <w:r>
          <w:rPr>
            <w:color w:val="0563C1"/>
            <w:sz w:val="16"/>
          </w:rPr>
          <w:t>E-04</w:t>
        </w:r>
      </w:hyperlink>
      <w:r>
        <w:t xml:space="preserve"> · </w:t>
      </w:r>
      <w:hyperlink r:id="rId19">
        <w:r>
          <w:rPr>
            <w:color w:val="0563C1"/>
            <w:sz w:val="16"/>
          </w:rPr>
          <w:t>E-05</w:t>
        </w:r>
      </w:hyperlink>
      <w:r>
        <w:t xml:space="preserve"> · </w:t>
      </w:r>
      <w:hyperlink r:id="rId20">
        <w:r>
          <w:rPr>
            <w:color w:val="0563C1"/>
            <w:sz w:val="16"/>
          </w:rPr>
          <w:t>E-06</w:t>
        </w:r>
      </w:hyperlink>
    </w:p>
    <w:p w14:paraId="2A558B4E" w14:textId="77777777" w:rsidR="00440C3A" w:rsidRDefault="00000000">
      <w:pPr>
        <w:pStyle w:val="Titulo2"/>
        <w:keepNext/>
        <w:pageBreakBefore/>
      </w:pPr>
      <w:r>
        <w:t xml:space="preserve">4.2 Escenario y </w:t>
      </w:r>
      <w:proofErr w:type="spellStart"/>
      <w:r>
        <w:t>datasets</w:t>
      </w:r>
      <w:proofErr w:type="spellEnd"/>
    </w:p>
    <w:tbl>
      <w:tblPr>
        <w:tblStyle w:val="TableGrid"/>
        <w:tblW w:w="8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600"/>
        <w:gridCol w:w="1400"/>
        <w:gridCol w:w="1500"/>
        <w:gridCol w:w="1600"/>
        <w:gridCol w:w="1100"/>
      </w:tblGrid>
      <w:tr w:rsidR="00440C3A" w14:paraId="4BAE829E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F745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DATASET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D3EE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FUENTE Y VERSIÓN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1E56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VOLUMEN / FORMATO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B104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CALIDAD Y PRIVACIDAD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D653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USO EN BI / BIG DATA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E8E6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EVIDENCIA</w:t>
            </w:r>
          </w:p>
        </w:tc>
      </w:tr>
      <w:tr w:rsidR="00440C3A" w14:paraId="6AA22A9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Original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Esquema y padrón del archivo MySQL usado como referencia; adaptación a A&amp;SG_OLTP. Código de referencia: 8042323.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10 trabajadores; tablas relacionales. Los movimientos usados en las pruebas no se presentan como un histórico empresarial real.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Se conservan identificadores y nombres; no hay anonimización completa. El generador no copia contactos ni PIN reales.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Referencia del esquema y del padrón para la solución BI.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E-01</w:t>
            </w:r>
          </w:p>
        </w:tc>
      </w:tr>
      <w:tr w:rsidR="00440C3A" w14:paraId="61F629C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Procesado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ETL en T-SQL mediante dbo.usp_cargar_rendimiento; destino A&amp;SG_DataMart. Referencia: 8042323.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1.164 filas de hechos y 30 resúmenes trabajador-mes; tablas y vistas SQL.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Textos normalizados y validación de estados, referencias y fechas. Conjunto inicial: cero rechazos.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Calcular indicadores y alimentar las dos páginas de Power BI.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E-02</w:t>
            </w:r>
          </w:p>
        </w:tc>
      </w:tr>
      <w:tr w:rsidR="00440C3A" w14:paraId="49EE3C24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Prueba / sintético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Generador T-SQL con CTE, WHILE y variaciones por trabajador y fecha; sin proceso Python.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Julio–septiembre de 2026: 582 asistencias y 582 tareas. Por mes: 203, 186 y 193 de cada tipo.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Movimientos simulados; jornadas L–V y L–M–V. Los nombres se conservan del padrón y no se declaran ficticios.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Comprobar conteos, fórmulas y repetición de la carga BI. Sin pruebas de Big Data.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E-03</w:t>
            </w:r>
          </w:p>
        </w:tc>
      </w:tr>
    </w:tbl>
    <w:p>
      <w:hyperlink r:id="rId21">
        <w:r>
          <w:rPr>
            <w:color w:val="0563C1"/>
            <w:sz w:val="16"/>
          </w:rPr>
          <w:t>E-01</w:t>
        </w:r>
      </w:hyperlink>
      <w:r>
        <w:t xml:space="preserve"> · </w:t>
      </w:r>
      <w:hyperlink r:id="rId22">
        <w:r>
          <w:rPr>
            <w:color w:val="0563C1"/>
            <w:sz w:val="16"/>
          </w:rPr>
          <w:t>E-02</w:t>
        </w:r>
      </w:hyperlink>
      <w:r>
        <w:t xml:space="preserve"> · </w:t>
      </w:r>
      <w:hyperlink r:id="rId23">
        <w:r>
          <w:rPr>
            <w:color w:val="0563C1"/>
            <w:sz w:val="16"/>
          </w:rPr>
          <w:t>E-03</w:t>
        </w:r>
      </w:hyperlink>
    </w:p>
    <w:p w14:paraId="570A7A4D" w14:textId="77777777" w:rsidR="00440C3A" w:rsidRDefault="00000000">
      <w:pPr>
        <w:pStyle w:val="Titulo2"/>
        <w:keepNext/>
        <w:pageBreakBefore/>
      </w:pPr>
      <w:r>
        <w:t>4.3 Variables, métricas y criterios de aceptación</w:t>
      </w:r>
    </w:p>
    <w:tbl>
      <w:tblPr>
        <w:tblStyle w:val="TableGrid"/>
        <w:tblW w:w="8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2200"/>
        <w:gridCol w:w="1800"/>
        <w:gridCol w:w="1300"/>
      </w:tblGrid>
      <w:tr w:rsidR="00440C3A" w14:paraId="1093E2C3" w14:textId="777777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CF4A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TIPO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1244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VARIABLE / MÉTRICA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8004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DEFINICIÓN Y UNIDAD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CD9A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MÉTODO DE MEDICIÓN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76F7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META / UMBRAL</w:t>
            </w:r>
          </w:p>
        </w:tc>
      </w:tr>
      <w:tr w:rsidR="00440C3A" w14:paraId="236B4C3F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Independiente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Período y repetición de la carga.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Intervalo de fechas y número de ejecuciones del ETL.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Parámetros @fecha_desde y @fecha_hasta; repetir el trimestre sin cambiar el origen.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01/07/2026–30/09/2026; dos cargas documentadas.</w:t>
            </w:r>
          </w:p>
        </w:tc>
      </w:tr>
      <w:tr w:rsidR="00440C3A" w14:paraId="5B284FE8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Dependiente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Conciliación, rechazos y repetibilidad.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Diferencia de conteos OLTP–Data Mart; registros rechazados; diferencias entre cargas.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COUNT y SUM, bitacora_etl, consulta de duplicados y EXCEPT en ambos sentidos.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Cero diferencias y grupos duplicados; cero rechazos en el conjunto inicial.</w:t>
            </w:r>
          </w:p>
        </w:tc>
      </w:tr>
      <w:tr w:rsidR="00440C3A" w14:paraId="49EFC126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Control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Datos, scripts y reglas de cálculo.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Mismo origen, intervalo y definiciones de KPI; una carga a la vez.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Conservar el origen entre cargas y ejecutar 01_Validacion_ETL.sql. No se comparan CPU ni tiempos.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Mantener las condiciones entre las dos ejecuciones.</w:t>
            </w:r>
          </w:p>
        </w:tc>
      </w:tr>
      <w:tr w:rsidR="00440C3A" w14:paraId="4D717BE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Negocio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  <w:rPr>
                <w:lang w:val="es-PE"/>
              </w:rPr>
            </w:pPr>
            <w:r>
              <w:rPr>
                <w:color w:val="000000"/>
                <w:sz w:val="16"/>
                <w:lang w:val="es-PE"/>
              </w:rPr>
              <w:t>TPA, ICT, TDT e IEP.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TPA: a tiempo/asistencias. ICT: completadas sin observaciones/tareas. TDT: fuera de plazo/tareas. IEP: 30% TPA + 50% ICT + 20% (100 − TDT).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Sumar numeradores y denominadores en SQL y DAX; presentar las tasas como porcentajes e IEP como puntos.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Trimestre: TPA 92,10%; ICT 56,36%; TDT 3,44%; IEP 75,12 puntos.</w:t>
            </w:r>
          </w:p>
        </w:tc>
      </w:tr>
    </w:tbl>
    <w:p>
      <w:hyperlink r:id="rId24">
        <w:r>
          <w:rPr>
            <w:color w:val="0563C1"/>
            <w:sz w:val="16"/>
          </w:rPr>
          <w:t>E-09</w:t>
        </w:r>
      </w:hyperlink>
      <w:r>
        <w:t xml:space="preserve"> · </w:t>
      </w:r>
      <w:hyperlink r:id="rId25">
        <w:r>
          <w:rPr>
            <w:color w:val="0563C1"/>
            <w:sz w:val="16"/>
          </w:rPr>
          <w:t>E-07</w:t>
        </w:r>
      </w:hyperlink>
    </w:p>
    <w:p w14:paraId="4BE77067" w14:textId="77777777" w:rsidR="00440C3A" w:rsidRDefault="00000000">
      <w:pPr>
        <w:pStyle w:val="Titulo2"/>
        <w:keepNext/>
        <w:pageBreakBefore/>
      </w:pPr>
      <w:r>
        <w:t>4.4 Entorno, herramientas y reproducibilidad</w:t>
      </w:r>
    </w:p>
    <w:tbl>
      <w:tblPr>
        <w:tblStyle w:val="TableGrid"/>
        <w:tblW w:w="8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2700"/>
        <w:gridCol w:w="1300"/>
      </w:tblGrid>
      <w:tr w:rsidR="00440C3A" w14:paraId="728E3A7F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9EC0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COMPONENTE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09A3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VERSIÓN / CONFIGURACIÓN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7C8B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PROPÓSITO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C187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EVIDENCIA</w:t>
            </w:r>
          </w:p>
        </w:tc>
      </w:tr>
      <w:tr w:rsidR="00440C3A" w14:paraId="2A7A79A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SQL Server y bases de datos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Instancia de prueba documentada: SQL Server 2022 Developer. Bases A&amp;SG_OLTP y A&amp;SG_DataMart.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Almacenar el origen académico, las cuatro dimensiones, hechos y controles de carga.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E-02 / E-05</w:t>
            </w:r>
          </w:p>
        </w:tc>
      </w:tr>
      <w:tr w:rsidR="00440C3A" w14:paraId="32ED280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SSMS y T-SQL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Scripts SQL de referencia 8042323. La versión exacta de SSMS no figura en la evidencia. Carga manual del 01/07 al 30/09/2026.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Ejecutar el procedimiento ETL y revisar bitácora, rechazos y conciliación.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E-04 / E-06 / E-09</w:t>
            </w:r>
          </w:p>
        </w:tc>
      </w:tr>
      <w:tr w:rsidR="00440C3A" w14:paraId="35E86A0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Power BI Desktop y DAX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Reporte_Rendimiento_Personal.pbix: dos páginas y cuatro relaciones activas. Versión exacta de Desktop no registrada.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Consultar las vistas; mostrar indicadores y ejemplo de bono, con base S/ 1.500 y máximo 20%.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E-07 / E-13</w:t>
            </w:r>
          </w:p>
        </w:tc>
      </w:tr>
      <w:tr w:rsidR="00440C3A" w14:paraId="0127AF9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GitHub y documentación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Repositorio Sistema_Remuneraciones_Reportes. Referencia: 8042323; SQL, DAX, guías y evidencias versionados.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Reproducir el orden de instalación y conservar los archivos consultados mediante enlaces permanentes.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7"/>
              </w:rPr>
              <w:t>E-04 / repositorio</w:t>
            </w:r>
          </w:p>
        </w:tc>
      </w:tr>
    </w:tbl>
    <w:p>
      <w:r>
        <w:rPr>
          <w:sz w:val="18"/>
        </w:rPr>
        <w:t>El hardware y las versiones exactas de Windows y Power BI no están registrados en la evidencia disponible. No se atribuyen mediciones de rendimiento a esos equipos.</w:t>
      </w:r>
    </w:p>
    <w:p>
      <w:hyperlink r:id="rId22">
        <w:r>
          <w:rPr>
            <w:color w:val="0563C1"/>
            <w:sz w:val="16"/>
          </w:rPr>
          <w:t>E-02</w:t>
        </w:r>
      </w:hyperlink>
      <w:r>
        <w:t xml:space="preserve"> · </w:t>
      </w:r>
      <w:hyperlink r:id="rId18">
        <w:r>
          <w:rPr>
            <w:color w:val="0563C1"/>
            <w:sz w:val="16"/>
          </w:rPr>
          <w:t>E-04</w:t>
        </w:r>
      </w:hyperlink>
      <w:r>
        <w:t xml:space="preserve"> · </w:t>
      </w:r>
      <w:hyperlink r:id="rId19">
        <w:r>
          <w:rPr>
            <w:color w:val="0563C1"/>
            <w:sz w:val="16"/>
          </w:rPr>
          <w:t>E-05</w:t>
        </w:r>
      </w:hyperlink>
      <w:r>
        <w:t xml:space="preserve"> · </w:t>
      </w:r>
      <w:hyperlink r:id="rId20">
        <w:r>
          <w:rPr>
            <w:color w:val="0563C1"/>
            <w:sz w:val="16"/>
          </w:rPr>
          <w:t>E-06</w:t>
        </w:r>
      </w:hyperlink>
      <w:r>
        <w:t xml:space="preserve"> · </w:t>
      </w:r>
      <w:hyperlink r:id="rId26">
        <w:r>
          <w:rPr>
            <w:color w:val="0563C1"/>
            <w:sz w:val="16"/>
          </w:rPr>
          <w:t>E-13</w:t>
        </w:r>
      </w:hyperlink>
      <w:r>
        <w:t xml:space="preserve"> · </w:t>
      </w:r>
      <w:hyperlink r:id="rId27">
        <w:r>
          <w:rPr>
            <w:color w:val="0563C1"/>
            <w:sz w:val="16"/>
          </w:rPr>
          <w:t>Guía de reproducción</w:t>
        </w:r>
      </w:hyperlink>
    </w:p>
    <w:p w14:paraId="6A32984E" w14:textId="77777777" w:rsidR="00440C3A" w:rsidRDefault="00000000">
      <w:pPr>
        <w:pStyle w:val="Titulo2"/>
        <w:keepNext/>
        <w:pageBreakBefore/>
      </w:pPr>
      <w:r>
        <w:t>4.5 Matriz de escenarios experimentales</w:t>
      </w:r>
    </w:p>
    <w:tbl>
      <w:tblPr>
        <w:tblStyle w:val="TableGrid"/>
        <w:tblW w:w="8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50"/>
        <w:gridCol w:w="1100"/>
        <w:gridCol w:w="1700"/>
        <w:gridCol w:w="1250"/>
        <w:gridCol w:w="1250"/>
        <w:gridCol w:w="1150"/>
        <w:gridCol w:w="1200"/>
      </w:tblGrid>
      <w:tr w:rsidR="00440C3A" w14:paraId="6266AEE9" w14:textId="77777777">
        <w:trPr>
          <w:cantSplit/>
          <w:tblHeader/>
        </w:trPr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D965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ID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C219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SOLUCIÓN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FAB7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CAMBIO / CONFIGURACIÓN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8432E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DATOS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0990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MÉTRICAS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A897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CONTROLES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6312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5"/>
              </w:rPr>
              <w:t>RESULTADO ESPERADO</w:t>
            </w:r>
          </w:p>
        </w:tc>
      </w:tr>
      <w:tr w:rsidR="00440C3A" w14:paraId="58512D71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EXP-01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BI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Carga del trimestre y repetición del mismo intervalo mediante el procedimiento ETL.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10 trabajadores; 582 asistencias y 582 tareas simuladas.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Conteos mensuales, rechazos, duplicados y diferencias entre cargas.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Mismo origen, fechas y reglas; una carga a la vez.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Conservar 582/582 movimientos, cero rechazos y las mismas medidas al repetir.</w:t>
            </w:r>
          </w:p>
        </w:tc>
      </w:tr>
      <w:tr w:rsidR="00440C3A" w14:paraId="3A84DD6C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EXP-02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Big Data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Reservado para otra etapa.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No aplica en T2.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No se evalúa.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Fuera del alcance BI.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No desarrollado en esta entrega.</w:t>
            </w:r>
          </w:p>
        </w:tc>
      </w:tr>
      <w:tr w:rsidR="00440C3A" w14:paraId="29D41C1C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EXP-03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Comparativo / integrado (BI)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Contraste de consultas SQL con las tarjetas y filtros del reporte Power BI.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El mismo trimestre y las vistas del Data Mart.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Totales y valores de TPA, ICT, TDT e IEP.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Mismas fórmulas y mismo período; comparar sin filtros individuales.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5"/>
              </w:rPr>
              <w:t>582 asistencias, 582 tareas e IEP 75,12; coherencia de indicadores SQL–Power BI.</w:t>
            </w:r>
          </w:p>
        </w:tc>
      </w:tr>
    </w:tbl>
    <w:p>
      <w:hyperlink r:id="rId24">
        <w:r>
          <w:rPr>
            <w:color w:val="0563C1"/>
            <w:sz w:val="16"/>
          </w:rPr>
          <w:t>E-09</w:t>
        </w:r>
      </w:hyperlink>
      <w:r>
        <w:t xml:space="preserve"> · </w:t>
      </w:r>
      <w:hyperlink r:id="rId25">
        <w:r>
          <w:rPr>
            <w:color w:val="0563C1"/>
            <w:sz w:val="16"/>
          </w:rPr>
          <w:t>E-07</w:t>
        </w:r>
      </w:hyperlink>
    </w:p>
    <w:p w14:paraId="44FAB70E" w14:textId="77777777" w:rsidR="00440C3A" w:rsidRDefault="00000000">
      <w:pPr>
        <w:pStyle w:val="Titulo2"/>
        <w:keepNext/>
        <w:pageBreakBefore/>
      </w:pPr>
      <w:r>
        <w:t>6.2 Registro de ejecuciones</w:t>
      </w:r>
    </w:p>
    <w:tbl>
      <w:tblPr>
        <w:tblStyle w:val="TableGrid"/>
        <w:tblW w:w="8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700"/>
        <w:gridCol w:w="1400"/>
        <w:gridCol w:w="2600"/>
        <w:gridCol w:w="1600"/>
      </w:tblGrid>
      <w:tr w:rsidR="00440C3A" w14:paraId="55A3D3E3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6FF2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EJECUCIÓN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8B46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VERSIÓN / FECHA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0001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ESCENARIO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FEB4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CONFIGURACIÓN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1F26" w14:textId="77777777" w:rsidR="00440C3A" w:rsidRDefault="00000000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6"/>
              </w:rPr>
              <w:t>ESTADO / LOG</w:t>
            </w:r>
          </w:p>
        </w:tc>
      </w:tr>
      <w:tr w:rsidR="00440C3A" w14:paraId="2020B10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RUN-01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22/10/2026, 00:36:14. Archivos de referencia: 8042323.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EXP-01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id_carga = 4; 01/07/2026–30/09/2026; dbo.usp_cargar_rendimiento.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Completada: 582 asistencias, 582 tareas, 0 rechazos y 1.164 filas. E-10.</w:t>
            </w:r>
          </w:p>
        </w:tc>
      </w:tr>
      <w:tr w:rsidR="00440C3A" w14:paraId="12B2FAF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RUN-02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22/10/2026, 00:36:14. Archivos de referencia: 8042323.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EXP-01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id_carga = 5; mismo intervalo y origen que RUN-01.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color w:val="000000"/>
                <w:sz w:val="16"/>
              </w:rPr>
              <w:t>Completada; mismas medidas y sin grupos duplicados en la validación. E-09 / E-10.</w:t>
            </w:r>
          </w:p>
        </w:tc>
      </w:tr>
    </w:tbl>
    <w:p>
      <w:r>
        <w:rPr>
          <w:sz w:val="18"/>
        </w:rPr>
        <w:t>Las dos cargas se transcriben de la captura existente; no son ejecuciones nuevas. El commit 8042323 identifica los archivos consultados, no una versión de código registrada en la bitácora.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20000" cy="366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ciliacion_Idempotenci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6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6"/>
        </w:rPr>
        <w:t>E-10. Captura publicada de las cargas 4 y 5: estado Completada, 582 asistencias, 582 tareas, cero rechazos y 1.164 filas cargadas. Incluye conciliación mensual y comparación de ambas cargas.</w:t>
      </w:r>
    </w:p>
    <w:p>
      <w:hyperlink r:id="rId24">
        <w:r>
          <w:rPr>
            <w:color w:val="0563C1"/>
            <w:sz w:val="16"/>
          </w:rPr>
          <w:t>E-09</w:t>
        </w:r>
      </w:hyperlink>
      <w:r>
        <w:t xml:space="preserve"> · </w:t>
      </w:r>
      <w:hyperlink r:id="rId29">
        <w:r>
          <w:rPr>
            <w:color w:val="0563C1"/>
            <w:sz w:val="16"/>
          </w:rPr>
          <w:t>E-10</w:t>
        </w:r>
      </w:hyperlink>
    </w:p>
    <w:sectPr w:rsidR="00150D17" w:rsidRPr="00150D17" w:rsidSect="00F01E31">
      <w:headerReference w:type="default" r:id="rId12"/>
      <w:footerReference w:type="default" r:id="rId13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0013" w14:textId="77777777" w:rsidR="0066351B" w:rsidRDefault="0066351B" w:rsidP="0087218D">
      <w:pPr>
        <w:spacing w:after="0" w:line="240" w:lineRule="auto"/>
      </w:pPr>
      <w:r>
        <w:separator/>
      </w:r>
    </w:p>
  </w:endnote>
  <w:endnote w:type="continuationSeparator" w:id="0">
    <w:p w14:paraId="6E05D8B4" w14:textId="77777777" w:rsidR="0066351B" w:rsidRDefault="0066351B" w:rsidP="0087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harp Grotesk Bold 15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Telegraf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25E1" w14:textId="77777777" w:rsidR="00F520AA" w:rsidRDefault="00F520AA">
    <w:pPr>
      <w:pStyle w:val="Footer"/>
      <w:pBdr>
        <w:bottom w:val="single" w:sz="6" w:space="1" w:color="auto"/>
      </w:pBdr>
      <w:rPr>
        <w:lang w:val="es-PE"/>
      </w:rPr>
    </w:pPr>
  </w:p>
  <w:p w14:paraId="38B31742" w14:textId="77777777" w:rsidR="003A4C7E" w:rsidRPr="003A4C7E" w:rsidRDefault="003A4C7E" w:rsidP="003A4C7E">
    <w:pPr>
      <w:spacing w:after="0"/>
      <w:jc w:val="both"/>
      <w:rPr>
        <w:rFonts w:ascii="Arial" w:hAnsi="Arial" w:cs="Arial"/>
        <w:i/>
        <w:iCs/>
        <w:sz w:val="16"/>
        <w:szCs w:val="16"/>
        <w:lang w:val="es-PE"/>
      </w:rPr>
    </w:pPr>
  </w:p>
  <w:p w14:paraId="499015BE" w14:textId="77777777" w:rsidR="00F520AA" w:rsidRPr="003A4C7E" w:rsidRDefault="003A4C7E" w:rsidP="003A4C7E">
    <w:pPr>
      <w:spacing w:after="0"/>
      <w:jc w:val="both"/>
      <w:rPr>
        <w:lang w:val="es-PE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61DC" w14:textId="77777777" w:rsidR="0066351B" w:rsidRDefault="0066351B" w:rsidP="0087218D">
      <w:pPr>
        <w:spacing w:after="0" w:line="240" w:lineRule="auto"/>
      </w:pPr>
      <w:r>
        <w:separator/>
      </w:r>
    </w:p>
  </w:footnote>
  <w:footnote w:type="continuationSeparator" w:id="0">
    <w:p w14:paraId="2958FC61" w14:textId="77777777" w:rsidR="0066351B" w:rsidRDefault="0066351B" w:rsidP="00872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6788" w14:textId="2F97F1EB" w:rsidR="0087218D" w:rsidRDefault="00483907" w:rsidP="008A2066">
    <w:pPr>
      <w:pStyle w:val="Header"/>
      <w:jc w:val="right"/>
      <w:rPr>
        <w:rFonts w:ascii="Arial" w:hAnsi="Arial" w:cs="Arial"/>
        <w:i/>
        <w:iCs/>
        <w:noProof/>
        <w:color w:val="201F1E"/>
        <w:sz w:val="16"/>
        <w:szCs w:val="16"/>
        <w:lang w:val="es-ES"/>
      </w:rPr>
    </w:pPr>
  </w:p>
  <w:p w14:paraId="7F34E0BD" w14:textId="0FDD15BF" w:rsidR="00483907" w:rsidRDefault="00483907" w:rsidP="008A2066">
    <w:pPr>
      <w:pStyle w:val="Header"/>
      <w:jc w:val="right"/>
      <w:rPr>
        <w:rFonts w:ascii="Arial" w:hAnsi="Arial" w:cs="Arial"/>
        <w:i/>
        <w:iCs/>
        <w:sz w:val="16"/>
        <w:szCs w:val="16"/>
      </w:rPr>
    </w:pPr>
  </w:p>
  <w:p w14:paraId="0D9A7D05" w14:textId="77777777" w:rsidR="00483907" w:rsidRDefault="00483907" w:rsidP="008A2066">
    <w:pPr>
      <w:pStyle w:val="Header"/>
      <w:jc w:val="right"/>
      <w:rPr>
        <w:rFonts w:ascii="Arial" w:hAnsi="Arial" w:cs="Arial"/>
        <w:i/>
        <w:iCs/>
        <w:sz w:val="16"/>
        <w:szCs w:val="16"/>
      </w:rPr>
    </w:pPr>
  </w:p>
  <w:p w14:paraId="6C7148A0" w14:textId="77777777" w:rsidR="00483907" w:rsidRDefault="00483907" w:rsidP="008A2066">
    <w:pPr>
      <w:pStyle w:val="Header"/>
      <w:jc w:val="right"/>
      <w:rPr>
        <w:rFonts w:ascii="Arial" w:hAnsi="Arial" w:cs="Arial"/>
        <w:i/>
        <w:iCs/>
        <w:sz w:val="16"/>
        <w:szCs w:val="16"/>
      </w:rPr>
    </w:pPr>
  </w:p>
  <w:p w14:paraId="7025EBA5" w14:textId="77777777" w:rsidR="00483907" w:rsidRDefault="00483907" w:rsidP="008A2066">
    <w:pPr>
      <w:pStyle w:val="Header"/>
      <w:jc w:val="right"/>
      <w:rPr>
        <w:rFonts w:ascii="Arial" w:hAnsi="Arial" w:cs="Arial"/>
        <w:i/>
        <w:iCs/>
        <w:sz w:val="16"/>
        <w:szCs w:val="16"/>
      </w:rPr>
    </w:pPr>
  </w:p>
  <w:p w14:paraId="7009B065" w14:textId="77777777" w:rsidR="00483907" w:rsidRPr="003A4C7E" w:rsidRDefault="00483907" w:rsidP="008A2066">
    <w:pPr>
      <w:pStyle w:val="Header"/>
      <w:jc w:val="right"/>
      <w:rPr>
        <w:rFonts w:ascii="Arial" w:hAnsi="Arial" w:cs="Arial"/>
        <w:i/>
        <w:iCs/>
        <w:sz w:val="16"/>
        <w:szCs w:val="16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FDE"/>
    <w:multiLevelType w:val="hybridMultilevel"/>
    <w:tmpl w:val="3E860E6C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BF3FC0"/>
    <w:multiLevelType w:val="hybridMultilevel"/>
    <w:tmpl w:val="CB400776"/>
    <w:lvl w:ilvl="0" w:tplc="280A000F">
      <w:start w:val="1"/>
      <w:numFmt w:val="decimal"/>
      <w:lvlText w:val="%1."/>
      <w:lvlJc w:val="left"/>
      <w:pPr>
        <w:ind w:left="630" w:hanging="360"/>
      </w:pPr>
    </w:lvl>
    <w:lvl w:ilvl="1" w:tplc="280A0019" w:tentative="1">
      <w:start w:val="1"/>
      <w:numFmt w:val="lowerLetter"/>
      <w:lvlText w:val="%2."/>
      <w:lvlJc w:val="left"/>
      <w:pPr>
        <w:ind w:left="1350" w:hanging="360"/>
      </w:pPr>
    </w:lvl>
    <w:lvl w:ilvl="2" w:tplc="280A001B" w:tentative="1">
      <w:start w:val="1"/>
      <w:numFmt w:val="lowerRoman"/>
      <w:lvlText w:val="%3."/>
      <w:lvlJc w:val="right"/>
      <w:pPr>
        <w:ind w:left="2070" w:hanging="180"/>
      </w:pPr>
    </w:lvl>
    <w:lvl w:ilvl="3" w:tplc="280A000F" w:tentative="1">
      <w:start w:val="1"/>
      <w:numFmt w:val="decimal"/>
      <w:lvlText w:val="%4."/>
      <w:lvlJc w:val="left"/>
      <w:pPr>
        <w:ind w:left="2790" w:hanging="360"/>
      </w:pPr>
    </w:lvl>
    <w:lvl w:ilvl="4" w:tplc="280A0019" w:tentative="1">
      <w:start w:val="1"/>
      <w:numFmt w:val="lowerLetter"/>
      <w:lvlText w:val="%5."/>
      <w:lvlJc w:val="left"/>
      <w:pPr>
        <w:ind w:left="3510" w:hanging="360"/>
      </w:pPr>
    </w:lvl>
    <w:lvl w:ilvl="5" w:tplc="280A001B" w:tentative="1">
      <w:start w:val="1"/>
      <w:numFmt w:val="lowerRoman"/>
      <w:lvlText w:val="%6."/>
      <w:lvlJc w:val="right"/>
      <w:pPr>
        <w:ind w:left="4230" w:hanging="180"/>
      </w:pPr>
    </w:lvl>
    <w:lvl w:ilvl="6" w:tplc="280A000F" w:tentative="1">
      <w:start w:val="1"/>
      <w:numFmt w:val="decimal"/>
      <w:lvlText w:val="%7."/>
      <w:lvlJc w:val="left"/>
      <w:pPr>
        <w:ind w:left="4950" w:hanging="360"/>
      </w:pPr>
    </w:lvl>
    <w:lvl w:ilvl="7" w:tplc="280A0019" w:tentative="1">
      <w:start w:val="1"/>
      <w:numFmt w:val="lowerLetter"/>
      <w:lvlText w:val="%8."/>
      <w:lvlJc w:val="left"/>
      <w:pPr>
        <w:ind w:left="5670" w:hanging="360"/>
      </w:pPr>
    </w:lvl>
    <w:lvl w:ilvl="8" w:tplc="28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63F5DD5"/>
    <w:multiLevelType w:val="hybridMultilevel"/>
    <w:tmpl w:val="1584ED80"/>
    <w:lvl w:ilvl="0" w:tplc="280A000F">
      <w:start w:val="1"/>
      <w:numFmt w:val="decimal"/>
      <w:lvlText w:val="%1."/>
      <w:lvlJc w:val="left"/>
      <w:pPr>
        <w:ind w:left="990" w:hanging="360"/>
      </w:pPr>
    </w:lvl>
    <w:lvl w:ilvl="1" w:tplc="280A0019" w:tentative="1">
      <w:start w:val="1"/>
      <w:numFmt w:val="lowerLetter"/>
      <w:lvlText w:val="%2."/>
      <w:lvlJc w:val="left"/>
      <w:pPr>
        <w:ind w:left="1710" w:hanging="360"/>
      </w:pPr>
    </w:lvl>
    <w:lvl w:ilvl="2" w:tplc="280A001B" w:tentative="1">
      <w:start w:val="1"/>
      <w:numFmt w:val="lowerRoman"/>
      <w:lvlText w:val="%3."/>
      <w:lvlJc w:val="right"/>
      <w:pPr>
        <w:ind w:left="2430" w:hanging="180"/>
      </w:pPr>
    </w:lvl>
    <w:lvl w:ilvl="3" w:tplc="280A000F" w:tentative="1">
      <w:start w:val="1"/>
      <w:numFmt w:val="decimal"/>
      <w:lvlText w:val="%4."/>
      <w:lvlJc w:val="left"/>
      <w:pPr>
        <w:ind w:left="3150" w:hanging="360"/>
      </w:pPr>
    </w:lvl>
    <w:lvl w:ilvl="4" w:tplc="280A0019" w:tentative="1">
      <w:start w:val="1"/>
      <w:numFmt w:val="lowerLetter"/>
      <w:lvlText w:val="%5."/>
      <w:lvlJc w:val="left"/>
      <w:pPr>
        <w:ind w:left="3870" w:hanging="360"/>
      </w:pPr>
    </w:lvl>
    <w:lvl w:ilvl="5" w:tplc="280A001B" w:tentative="1">
      <w:start w:val="1"/>
      <w:numFmt w:val="lowerRoman"/>
      <w:lvlText w:val="%6."/>
      <w:lvlJc w:val="right"/>
      <w:pPr>
        <w:ind w:left="4590" w:hanging="180"/>
      </w:pPr>
    </w:lvl>
    <w:lvl w:ilvl="6" w:tplc="280A000F" w:tentative="1">
      <w:start w:val="1"/>
      <w:numFmt w:val="decimal"/>
      <w:lvlText w:val="%7."/>
      <w:lvlJc w:val="left"/>
      <w:pPr>
        <w:ind w:left="5310" w:hanging="360"/>
      </w:pPr>
    </w:lvl>
    <w:lvl w:ilvl="7" w:tplc="280A0019" w:tentative="1">
      <w:start w:val="1"/>
      <w:numFmt w:val="lowerLetter"/>
      <w:lvlText w:val="%8."/>
      <w:lvlJc w:val="left"/>
      <w:pPr>
        <w:ind w:left="6030" w:hanging="360"/>
      </w:pPr>
    </w:lvl>
    <w:lvl w:ilvl="8" w:tplc="280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8F3048B"/>
    <w:multiLevelType w:val="hybridMultilevel"/>
    <w:tmpl w:val="1514FE20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165058"/>
    <w:multiLevelType w:val="hybridMultilevel"/>
    <w:tmpl w:val="FBE2B5A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A69BF"/>
    <w:multiLevelType w:val="hybridMultilevel"/>
    <w:tmpl w:val="1FEAA66A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6D1A82"/>
    <w:multiLevelType w:val="hybridMultilevel"/>
    <w:tmpl w:val="22D48CD6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9685867"/>
    <w:multiLevelType w:val="multilevel"/>
    <w:tmpl w:val="76AAE7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AD91F20"/>
    <w:multiLevelType w:val="hybridMultilevel"/>
    <w:tmpl w:val="AD22A1BC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1E4AB6"/>
    <w:multiLevelType w:val="hybridMultilevel"/>
    <w:tmpl w:val="E74E18A0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56A1A9B"/>
    <w:multiLevelType w:val="hybridMultilevel"/>
    <w:tmpl w:val="42D68BFC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8D65D2E"/>
    <w:multiLevelType w:val="hybridMultilevel"/>
    <w:tmpl w:val="3B302E90"/>
    <w:lvl w:ilvl="0" w:tplc="33FA4D5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257316"/>
    <w:multiLevelType w:val="hybridMultilevel"/>
    <w:tmpl w:val="D0E8C9E6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1D16177"/>
    <w:multiLevelType w:val="multilevel"/>
    <w:tmpl w:val="96C8E0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87D46F8"/>
    <w:multiLevelType w:val="multilevel"/>
    <w:tmpl w:val="BFEE9FB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93A1ED5"/>
    <w:multiLevelType w:val="hybridMultilevel"/>
    <w:tmpl w:val="ED4CFE18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C990CBC"/>
    <w:multiLevelType w:val="multilevel"/>
    <w:tmpl w:val="83A00A2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0B77A4A"/>
    <w:multiLevelType w:val="hybridMultilevel"/>
    <w:tmpl w:val="699863CE"/>
    <w:lvl w:ilvl="0" w:tplc="1BF4B1FA">
      <w:numFmt w:val="bullet"/>
      <w:lvlText w:val="-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8052F9"/>
    <w:multiLevelType w:val="singleLevel"/>
    <w:tmpl w:val="A7E8185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9" w15:restartNumberingAfterBreak="0">
    <w:nsid w:val="53647931"/>
    <w:multiLevelType w:val="hybridMultilevel"/>
    <w:tmpl w:val="31226894"/>
    <w:lvl w:ilvl="0" w:tplc="1E6C690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241E6F"/>
    <w:multiLevelType w:val="hybridMultilevel"/>
    <w:tmpl w:val="9F9A4DC2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8377F6B"/>
    <w:multiLevelType w:val="hybridMultilevel"/>
    <w:tmpl w:val="242871D6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E954E3A"/>
    <w:multiLevelType w:val="hybridMultilevel"/>
    <w:tmpl w:val="9E1653F6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3575720"/>
    <w:multiLevelType w:val="hybridMultilevel"/>
    <w:tmpl w:val="8182CF50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9E5EA6"/>
    <w:multiLevelType w:val="hybridMultilevel"/>
    <w:tmpl w:val="2EB8C798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AAA64B20">
      <w:numFmt w:val="bullet"/>
      <w:lvlText w:val="-"/>
      <w:lvlJc w:val="left"/>
      <w:pPr>
        <w:ind w:left="2880" w:hanging="720"/>
      </w:pPr>
      <w:rPr>
        <w:rFonts w:ascii="Arial" w:eastAsiaTheme="minorHAnsi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B5A1ADF"/>
    <w:multiLevelType w:val="hybridMultilevel"/>
    <w:tmpl w:val="4B04568C"/>
    <w:lvl w:ilvl="0" w:tplc="28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DC579C9"/>
    <w:multiLevelType w:val="singleLevel"/>
    <w:tmpl w:val="E626CC7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7" w15:restartNumberingAfterBreak="0">
    <w:nsid w:val="75452A18"/>
    <w:multiLevelType w:val="hybridMultilevel"/>
    <w:tmpl w:val="1C1E0FF8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6112AD2"/>
    <w:multiLevelType w:val="hybridMultilevel"/>
    <w:tmpl w:val="DF265A70"/>
    <w:lvl w:ilvl="0" w:tplc="280A000F">
      <w:start w:val="1"/>
      <w:numFmt w:val="decimal"/>
      <w:lvlText w:val="%1."/>
      <w:lvlJc w:val="left"/>
      <w:pPr>
        <w:ind w:left="630" w:hanging="360"/>
      </w:pPr>
    </w:lvl>
    <w:lvl w:ilvl="1" w:tplc="280A0019" w:tentative="1">
      <w:start w:val="1"/>
      <w:numFmt w:val="lowerLetter"/>
      <w:lvlText w:val="%2."/>
      <w:lvlJc w:val="left"/>
      <w:pPr>
        <w:ind w:left="1350" w:hanging="360"/>
      </w:pPr>
    </w:lvl>
    <w:lvl w:ilvl="2" w:tplc="280A001B" w:tentative="1">
      <w:start w:val="1"/>
      <w:numFmt w:val="lowerRoman"/>
      <w:lvlText w:val="%3."/>
      <w:lvlJc w:val="right"/>
      <w:pPr>
        <w:ind w:left="2070" w:hanging="180"/>
      </w:pPr>
    </w:lvl>
    <w:lvl w:ilvl="3" w:tplc="280A000F" w:tentative="1">
      <w:start w:val="1"/>
      <w:numFmt w:val="decimal"/>
      <w:lvlText w:val="%4."/>
      <w:lvlJc w:val="left"/>
      <w:pPr>
        <w:ind w:left="2790" w:hanging="360"/>
      </w:pPr>
    </w:lvl>
    <w:lvl w:ilvl="4" w:tplc="280A0019" w:tentative="1">
      <w:start w:val="1"/>
      <w:numFmt w:val="lowerLetter"/>
      <w:lvlText w:val="%5."/>
      <w:lvlJc w:val="left"/>
      <w:pPr>
        <w:ind w:left="3510" w:hanging="360"/>
      </w:pPr>
    </w:lvl>
    <w:lvl w:ilvl="5" w:tplc="280A001B" w:tentative="1">
      <w:start w:val="1"/>
      <w:numFmt w:val="lowerRoman"/>
      <w:lvlText w:val="%6."/>
      <w:lvlJc w:val="right"/>
      <w:pPr>
        <w:ind w:left="4230" w:hanging="180"/>
      </w:pPr>
    </w:lvl>
    <w:lvl w:ilvl="6" w:tplc="280A000F" w:tentative="1">
      <w:start w:val="1"/>
      <w:numFmt w:val="decimal"/>
      <w:lvlText w:val="%7."/>
      <w:lvlJc w:val="left"/>
      <w:pPr>
        <w:ind w:left="4950" w:hanging="360"/>
      </w:pPr>
    </w:lvl>
    <w:lvl w:ilvl="7" w:tplc="280A0019" w:tentative="1">
      <w:start w:val="1"/>
      <w:numFmt w:val="lowerLetter"/>
      <w:lvlText w:val="%8."/>
      <w:lvlJc w:val="left"/>
      <w:pPr>
        <w:ind w:left="5670" w:hanging="360"/>
      </w:pPr>
    </w:lvl>
    <w:lvl w:ilvl="8" w:tplc="28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784072CB"/>
    <w:multiLevelType w:val="hybridMultilevel"/>
    <w:tmpl w:val="6074DF2E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CA0B89"/>
    <w:multiLevelType w:val="hybridMultilevel"/>
    <w:tmpl w:val="5EC65B3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362137">
    <w:abstractNumId w:val="26"/>
  </w:num>
  <w:num w:numId="2" w16cid:durableId="1823540413">
    <w:abstractNumId w:val="1"/>
  </w:num>
  <w:num w:numId="3" w16cid:durableId="500121400">
    <w:abstractNumId w:val="28"/>
  </w:num>
  <w:num w:numId="4" w16cid:durableId="908074631">
    <w:abstractNumId w:val="3"/>
  </w:num>
  <w:num w:numId="5" w16cid:durableId="268128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95"/>
    <w:rsid w:val="000050DD"/>
    <w:rsid w:val="0001336D"/>
    <w:rsid w:val="000152FA"/>
    <w:rsid w:val="0002357A"/>
    <w:rsid w:val="000322EF"/>
    <w:rsid w:val="00044202"/>
    <w:rsid w:val="000454BA"/>
    <w:rsid w:val="00054421"/>
    <w:rsid w:val="00065F16"/>
    <w:rsid w:val="00075B25"/>
    <w:rsid w:val="000956D6"/>
    <w:rsid w:val="000E3CC5"/>
    <w:rsid w:val="000E7F3F"/>
    <w:rsid w:val="000F0DEA"/>
    <w:rsid w:val="00102E61"/>
    <w:rsid w:val="001041A0"/>
    <w:rsid w:val="00135F34"/>
    <w:rsid w:val="00136205"/>
    <w:rsid w:val="00143FCD"/>
    <w:rsid w:val="00145316"/>
    <w:rsid w:val="001475E3"/>
    <w:rsid w:val="00150D17"/>
    <w:rsid w:val="001525A3"/>
    <w:rsid w:val="0015393B"/>
    <w:rsid w:val="00155490"/>
    <w:rsid w:val="00163809"/>
    <w:rsid w:val="00176C82"/>
    <w:rsid w:val="00194D6A"/>
    <w:rsid w:val="001C560D"/>
    <w:rsid w:val="001D5DAA"/>
    <w:rsid w:val="001E139B"/>
    <w:rsid w:val="001E170C"/>
    <w:rsid w:val="00215275"/>
    <w:rsid w:val="0023237C"/>
    <w:rsid w:val="00244442"/>
    <w:rsid w:val="00244F87"/>
    <w:rsid w:val="0025352B"/>
    <w:rsid w:val="0025747F"/>
    <w:rsid w:val="00293733"/>
    <w:rsid w:val="002A67D7"/>
    <w:rsid w:val="002B26A4"/>
    <w:rsid w:val="002C719C"/>
    <w:rsid w:val="002F11D2"/>
    <w:rsid w:val="00314E89"/>
    <w:rsid w:val="0032611B"/>
    <w:rsid w:val="00335CA5"/>
    <w:rsid w:val="00373283"/>
    <w:rsid w:val="00391536"/>
    <w:rsid w:val="003A1221"/>
    <w:rsid w:val="003A3814"/>
    <w:rsid w:val="003A4C7E"/>
    <w:rsid w:val="003E0F1A"/>
    <w:rsid w:val="003E1FD9"/>
    <w:rsid w:val="003E2308"/>
    <w:rsid w:val="003F4453"/>
    <w:rsid w:val="003F68C1"/>
    <w:rsid w:val="004164C6"/>
    <w:rsid w:val="00436833"/>
    <w:rsid w:val="004369CC"/>
    <w:rsid w:val="00440C3A"/>
    <w:rsid w:val="0044764B"/>
    <w:rsid w:val="00454D80"/>
    <w:rsid w:val="00456D42"/>
    <w:rsid w:val="00457A5B"/>
    <w:rsid w:val="00464A58"/>
    <w:rsid w:val="004741B5"/>
    <w:rsid w:val="00483907"/>
    <w:rsid w:val="00487A54"/>
    <w:rsid w:val="004958F5"/>
    <w:rsid w:val="004A28C2"/>
    <w:rsid w:val="004B1513"/>
    <w:rsid w:val="004C3E89"/>
    <w:rsid w:val="004E4E3D"/>
    <w:rsid w:val="004F7CE5"/>
    <w:rsid w:val="00502D24"/>
    <w:rsid w:val="0051346A"/>
    <w:rsid w:val="0054737A"/>
    <w:rsid w:val="00565D94"/>
    <w:rsid w:val="00580793"/>
    <w:rsid w:val="005944F3"/>
    <w:rsid w:val="005A3119"/>
    <w:rsid w:val="005B10B7"/>
    <w:rsid w:val="005B2642"/>
    <w:rsid w:val="005B672E"/>
    <w:rsid w:val="005C79F7"/>
    <w:rsid w:val="005D29D0"/>
    <w:rsid w:val="005D6ABF"/>
    <w:rsid w:val="00604F54"/>
    <w:rsid w:val="0061584A"/>
    <w:rsid w:val="00625EDE"/>
    <w:rsid w:val="006309BB"/>
    <w:rsid w:val="00633E20"/>
    <w:rsid w:val="0064288A"/>
    <w:rsid w:val="00643A91"/>
    <w:rsid w:val="00644B0B"/>
    <w:rsid w:val="00652304"/>
    <w:rsid w:val="0066351B"/>
    <w:rsid w:val="006748B3"/>
    <w:rsid w:val="00697967"/>
    <w:rsid w:val="006B355F"/>
    <w:rsid w:val="006C3DFD"/>
    <w:rsid w:val="006C51C5"/>
    <w:rsid w:val="006D56E1"/>
    <w:rsid w:val="00723284"/>
    <w:rsid w:val="007546CC"/>
    <w:rsid w:val="0076287C"/>
    <w:rsid w:val="0076541E"/>
    <w:rsid w:val="007751B1"/>
    <w:rsid w:val="007772F5"/>
    <w:rsid w:val="007B0426"/>
    <w:rsid w:val="007B1882"/>
    <w:rsid w:val="007C2351"/>
    <w:rsid w:val="007D1110"/>
    <w:rsid w:val="007D643A"/>
    <w:rsid w:val="007F6FAB"/>
    <w:rsid w:val="00854B4C"/>
    <w:rsid w:val="0087218D"/>
    <w:rsid w:val="0088204B"/>
    <w:rsid w:val="00894AF4"/>
    <w:rsid w:val="008A2066"/>
    <w:rsid w:val="008A4CCE"/>
    <w:rsid w:val="008C15DE"/>
    <w:rsid w:val="008D0526"/>
    <w:rsid w:val="008D2836"/>
    <w:rsid w:val="008F000C"/>
    <w:rsid w:val="008F4F15"/>
    <w:rsid w:val="00901796"/>
    <w:rsid w:val="0091297E"/>
    <w:rsid w:val="00914D2E"/>
    <w:rsid w:val="00930175"/>
    <w:rsid w:val="00930281"/>
    <w:rsid w:val="0095180F"/>
    <w:rsid w:val="00952137"/>
    <w:rsid w:val="00971670"/>
    <w:rsid w:val="009746AB"/>
    <w:rsid w:val="009862A7"/>
    <w:rsid w:val="0099724B"/>
    <w:rsid w:val="009B00A4"/>
    <w:rsid w:val="009D1A5E"/>
    <w:rsid w:val="009E7EF8"/>
    <w:rsid w:val="009F58ED"/>
    <w:rsid w:val="009F66BC"/>
    <w:rsid w:val="00A02A1B"/>
    <w:rsid w:val="00A270D3"/>
    <w:rsid w:val="00A369B2"/>
    <w:rsid w:val="00A448C2"/>
    <w:rsid w:val="00A504EB"/>
    <w:rsid w:val="00A50888"/>
    <w:rsid w:val="00A62C57"/>
    <w:rsid w:val="00A81493"/>
    <w:rsid w:val="00A95C71"/>
    <w:rsid w:val="00AB1C21"/>
    <w:rsid w:val="00AD2DAF"/>
    <w:rsid w:val="00AE36E2"/>
    <w:rsid w:val="00B0077F"/>
    <w:rsid w:val="00B01448"/>
    <w:rsid w:val="00B1461E"/>
    <w:rsid w:val="00B3200D"/>
    <w:rsid w:val="00B418E7"/>
    <w:rsid w:val="00B42826"/>
    <w:rsid w:val="00B4601C"/>
    <w:rsid w:val="00B4660E"/>
    <w:rsid w:val="00B63DCE"/>
    <w:rsid w:val="00B76FF6"/>
    <w:rsid w:val="00B818C0"/>
    <w:rsid w:val="00BA191D"/>
    <w:rsid w:val="00BA40EC"/>
    <w:rsid w:val="00BB15C2"/>
    <w:rsid w:val="00BD265A"/>
    <w:rsid w:val="00BE3CC6"/>
    <w:rsid w:val="00BF40E2"/>
    <w:rsid w:val="00BF5DEC"/>
    <w:rsid w:val="00C2139E"/>
    <w:rsid w:val="00C22642"/>
    <w:rsid w:val="00C3230C"/>
    <w:rsid w:val="00C46558"/>
    <w:rsid w:val="00C50B59"/>
    <w:rsid w:val="00C571D2"/>
    <w:rsid w:val="00C66251"/>
    <w:rsid w:val="00C71D34"/>
    <w:rsid w:val="00C915B1"/>
    <w:rsid w:val="00C93A08"/>
    <w:rsid w:val="00CA1250"/>
    <w:rsid w:val="00CB59C0"/>
    <w:rsid w:val="00CB59EF"/>
    <w:rsid w:val="00CD1822"/>
    <w:rsid w:val="00CE599D"/>
    <w:rsid w:val="00CE5F56"/>
    <w:rsid w:val="00CE7A62"/>
    <w:rsid w:val="00D07E8F"/>
    <w:rsid w:val="00D30F81"/>
    <w:rsid w:val="00D54F48"/>
    <w:rsid w:val="00D92295"/>
    <w:rsid w:val="00DB162B"/>
    <w:rsid w:val="00DB5D76"/>
    <w:rsid w:val="00DD04F4"/>
    <w:rsid w:val="00DF0D9D"/>
    <w:rsid w:val="00DF78D1"/>
    <w:rsid w:val="00E01548"/>
    <w:rsid w:val="00E0498F"/>
    <w:rsid w:val="00E168C1"/>
    <w:rsid w:val="00E25BFE"/>
    <w:rsid w:val="00EB0F11"/>
    <w:rsid w:val="00EB10AE"/>
    <w:rsid w:val="00EB18EC"/>
    <w:rsid w:val="00EB6ABB"/>
    <w:rsid w:val="00EC3304"/>
    <w:rsid w:val="00EC59B4"/>
    <w:rsid w:val="00EC7D0C"/>
    <w:rsid w:val="00EE3C23"/>
    <w:rsid w:val="00F01E31"/>
    <w:rsid w:val="00F065BA"/>
    <w:rsid w:val="00F0755C"/>
    <w:rsid w:val="00F26492"/>
    <w:rsid w:val="00F3039B"/>
    <w:rsid w:val="00F37CF6"/>
    <w:rsid w:val="00F520AA"/>
    <w:rsid w:val="00F54CBF"/>
    <w:rsid w:val="00FA01E6"/>
    <w:rsid w:val="00FA0CAE"/>
    <w:rsid w:val="00FD44D4"/>
    <w:rsid w:val="020FB373"/>
    <w:rsid w:val="021A434B"/>
    <w:rsid w:val="0550D597"/>
    <w:rsid w:val="08D21859"/>
    <w:rsid w:val="08F44742"/>
    <w:rsid w:val="0E7C56F8"/>
    <w:rsid w:val="0ED0797B"/>
    <w:rsid w:val="18F229A9"/>
    <w:rsid w:val="1B5947BE"/>
    <w:rsid w:val="20D29250"/>
    <w:rsid w:val="2A477FD5"/>
    <w:rsid w:val="2B1CC21B"/>
    <w:rsid w:val="2B56B41C"/>
    <w:rsid w:val="2CD2A5CB"/>
    <w:rsid w:val="2ECE6AF6"/>
    <w:rsid w:val="2F7EC4C3"/>
    <w:rsid w:val="305E15A8"/>
    <w:rsid w:val="317FDDB1"/>
    <w:rsid w:val="3280018C"/>
    <w:rsid w:val="328C0C4B"/>
    <w:rsid w:val="32AE5CDE"/>
    <w:rsid w:val="37CD9EA7"/>
    <w:rsid w:val="396C9FC4"/>
    <w:rsid w:val="3BC70188"/>
    <w:rsid w:val="3F260508"/>
    <w:rsid w:val="3FA06CBE"/>
    <w:rsid w:val="4492946A"/>
    <w:rsid w:val="449EDBCF"/>
    <w:rsid w:val="49169ECC"/>
    <w:rsid w:val="492A8FFC"/>
    <w:rsid w:val="5084A643"/>
    <w:rsid w:val="51C7640F"/>
    <w:rsid w:val="5357C2EE"/>
    <w:rsid w:val="548CDDF0"/>
    <w:rsid w:val="5B83D7EE"/>
    <w:rsid w:val="5C71D10B"/>
    <w:rsid w:val="5C748EEF"/>
    <w:rsid w:val="5E4E2007"/>
    <w:rsid w:val="611F5A5A"/>
    <w:rsid w:val="6490270A"/>
    <w:rsid w:val="664C6AB6"/>
    <w:rsid w:val="66F9D164"/>
    <w:rsid w:val="68F553AF"/>
    <w:rsid w:val="6F65280D"/>
    <w:rsid w:val="75295555"/>
    <w:rsid w:val="77D197AA"/>
    <w:rsid w:val="7ADAAF63"/>
    <w:rsid w:val="7B39DC5E"/>
    <w:rsid w:val="7CBE00E7"/>
    <w:rsid w:val="7E59D148"/>
    <w:rsid w:val="7F0B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D22A33"/>
  <w15:chartTrackingRefBased/>
  <w15:docId w15:val="{B523FE5E-ED7F-4335-83A1-E64BAD5E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6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18D"/>
  </w:style>
  <w:style w:type="paragraph" w:styleId="Footer">
    <w:name w:val="footer"/>
    <w:basedOn w:val="Normal"/>
    <w:link w:val="FooterChar"/>
    <w:uiPriority w:val="99"/>
    <w:unhideWhenUsed/>
    <w:rsid w:val="0087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18D"/>
  </w:style>
  <w:style w:type="paragraph" w:customStyle="1" w:styleId="Titulo1">
    <w:name w:val="Titulo 1"/>
    <w:basedOn w:val="Normal"/>
    <w:link w:val="Titulo1Char"/>
    <w:qFormat/>
    <w:rsid w:val="0076541E"/>
    <w:pPr>
      <w:keepNext/>
      <w:spacing w:before="360" w:after="200" w:line="240" w:lineRule="auto"/>
      <w:jc w:val="center"/>
    </w:pPr>
    <w:rPr>
      <w:rFonts w:cs="Arial"/>
      <w:b/>
      <w:color w:val="2E74B5"/>
      <w:sz w:val="32"/>
      <w:lang w:val="es-PE"/>
    </w:rPr>
  </w:style>
  <w:style w:type="paragraph" w:styleId="ListParagraph">
    <w:name w:val="List Paragraph"/>
    <w:basedOn w:val="Normal"/>
    <w:uiPriority w:val="34"/>
    <w:qFormat/>
    <w:rsid w:val="0015393B"/>
    <w:pPr>
      <w:spacing w:after="80"/>
      <w:ind w:left="540" w:hanging="271"/>
      <w:contextualSpacing/>
    </w:pPr>
  </w:style>
  <w:style w:type="character" w:customStyle="1" w:styleId="Titulo1Char">
    <w:name w:val="Titulo 1 Char"/>
    <w:basedOn w:val="DefaultParagraphFont"/>
    <w:link w:val="Titulo1"/>
    <w:rsid w:val="0076541E"/>
    <w:rPr>
      <w:rFonts w:ascii="Arial" w:hAnsi="Arial" w:cs="Arial"/>
      <w:b/>
      <w:sz w:val="28"/>
      <w:lang w:val="es-PE"/>
    </w:rPr>
  </w:style>
  <w:style w:type="paragraph" w:customStyle="1" w:styleId="Titulo2">
    <w:name w:val="Titulo 2"/>
    <w:basedOn w:val="Normal"/>
    <w:link w:val="Titulo2Char"/>
    <w:qFormat/>
    <w:rsid w:val="0015393B"/>
    <w:pPr>
      <w:keepNext/>
      <w:spacing w:before="280" w:after="140" w:line="240" w:lineRule="auto"/>
      <w:jc w:val="both"/>
    </w:pPr>
    <w:rPr>
      <w:rFonts w:cs="Arial"/>
      <w:b/>
      <w:color w:val="2E74B5"/>
      <w:sz w:val="26"/>
      <w:lang w:val="es-PE"/>
    </w:rPr>
  </w:style>
  <w:style w:type="character" w:customStyle="1" w:styleId="Heading1Char">
    <w:name w:val="Heading 1 Char"/>
    <w:basedOn w:val="DefaultParagraphFont"/>
    <w:link w:val="Heading1"/>
    <w:uiPriority w:val="9"/>
    <w:rsid w:val="00153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ulo2Char">
    <w:name w:val="Titulo 2 Char"/>
    <w:basedOn w:val="DefaultParagraphFont"/>
    <w:link w:val="Titulo2"/>
    <w:rsid w:val="0015393B"/>
    <w:rPr>
      <w:rFonts w:ascii="Arial" w:hAnsi="Arial" w:cs="Arial"/>
      <w:b/>
      <w:sz w:val="24"/>
      <w:lang w:val="es-PE"/>
    </w:rPr>
  </w:style>
  <w:style w:type="paragraph" w:styleId="TOCHeading">
    <w:name w:val="TOC Heading"/>
    <w:basedOn w:val="Heading1"/>
    <w:next w:val="Normal"/>
    <w:uiPriority w:val="39"/>
    <w:unhideWhenUsed/>
    <w:qFormat/>
    <w:rsid w:val="001539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0DEA"/>
    <w:pPr>
      <w:tabs>
        <w:tab w:val="right" w:leader="dot" w:pos="8494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393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5393B"/>
    <w:rPr>
      <w:color w:val="0563C1" w:themeColor="hyperlink"/>
      <w:u w:val="single"/>
    </w:rPr>
  </w:style>
  <w:style w:type="paragraph" w:customStyle="1" w:styleId="Titulo3">
    <w:name w:val="Titulo 3"/>
    <w:basedOn w:val="Normal"/>
    <w:link w:val="Titulo3Char"/>
    <w:qFormat/>
    <w:rsid w:val="0032611B"/>
    <w:pPr>
      <w:keepNext/>
      <w:spacing w:before="200" w:after="100" w:line="240" w:lineRule="auto"/>
      <w:ind w:left="720"/>
    </w:pPr>
    <w:rPr>
      <w:b/>
      <w:color w:val="1F4D78"/>
      <w:sz w:val="24"/>
      <w:lang w:val="es-P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ulo3Char">
    <w:name w:val="Titulo 3 Char"/>
    <w:basedOn w:val="DefaultParagraphFont"/>
    <w:link w:val="Titulo3"/>
    <w:rsid w:val="0032611B"/>
    <w:rPr>
      <w:rFonts w:ascii="Arial" w:hAnsi="Arial"/>
      <w:b/>
      <w:lang w:val="es-P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6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F0DEA"/>
    <w:pPr>
      <w:spacing w:after="100"/>
      <w:ind w:left="440"/>
    </w:pPr>
  </w:style>
  <w:style w:type="table" w:styleId="TableGrid">
    <w:name w:val="Table Grid"/>
    <w:basedOn w:val="TableNormal"/>
    <w:uiPriority w:val="59"/>
    <w:rsid w:val="00C50B5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yperlink" Target="https://github.com/b-alfonso/Sistema_Remuneraciones_Reportes/blob/8042323e05d79880d01f45b24a855a2d50b6d377/04_Documentacion/00_Orden_Ejecucion.md" TargetMode="External"/><Relationship Id="rId19" Type="http://schemas.openxmlformats.org/officeDocument/2006/relationships/hyperlink" Target="https://github.com/b-alfonso/Sistema_Remuneraciones_Reportes/blob/8042323e05d79880d01f45b24a855a2d50b6d377/01_Base_Datos/02_Creacion_Data_Mart.sql" TargetMode="External"/><Relationship Id="rId20" Type="http://schemas.openxmlformats.org/officeDocument/2006/relationships/hyperlink" Target="https://github.com/b-alfonso/Sistema_Remuneraciones_Reportes/blob/8042323e05d79880d01f45b24a855a2d50b6d377/02_Procedimientos_Almacenados/02_Procedimiento_ETL.sql" TargetMode="External"/><Relationship Id="rId21" Type="http://schemas.openxmlformats.org/officeDocument/2006/relationships/hyperlink" Target="https://github.com/b-alfonso/Sistema_Remuneraciones_Reportes/blob/8042323e05d79880d01f45b24a855a2d50b6d377/04_Documentacion/08_Padron_Trabajadores.md" TargetMode="External"/><Relationship Id="rId22" Type="http://schemas.openxmlformats.org/officeDocument/2006/relationships/hyperlink" Target="https://github.com/b-alfonso/Sistema_Remuneraciones_Reportes/blob/8042323e05d79880d01f45b24a855a2d50b6d377/04_Documentacion/Evidencias/03_Resultados_Padron_Origen.txt" TargetMode="External"/><Relationship Id="rId23" Type="http://schemas.openxmlformats.org/officeDocument/2006/relationships/hyperlink" Target="https://github.com/b-alfonso/Sistema_Remuneraciones_Reportes/blob/8042323e05d79880d01f45b24a855a2d50b6d377/01_Base_Datos/01_Estructura_y_Datos.sql" TargetMode="External"/><Relationship Id="rId24" Type="http://schemas.openxmlformats.org/officeDocument/2006/relationships/hyperlink" Target="https://github.com/b-alfonso/Sistema_Remuneraciones_Reportes/blob/8042323e05d79880d01f45b24a855a2d50b6d377/04_Documentacion/01_Validacion_ETL.sql" TargetMode="External"/><Relationship Id="rId25" Type="http://schemas.openxmlformats.org/officeDocument/2006/relationships/hyperlink" Target="https://github.com/b-alfonso/Sistema_Remuneraciones_Reportes/blob/8042323e05d79880d01f45b24a855a2d50b6d377/04_Documentacion/Evidencias/07_Rendimiento_Personal.png" TargetMode="External"/><Relationship Id="rId26" Type="http://schemas.openxmlformats.org/officeDocument/2006/relationships/hyperlink" Target="https://github.com/b-alfonso/Sistema_Remuneraciones_Reportes/blob/8042323e05d79880d01f45b24a855a2d50b6d377/03_Vistas_PowerBI/Reporte_Rendimiento_Personal.pbix" TargetMode="External"/><Relationship Id="rId27" Type="http://schemas.openxmlformats.org/officeDocument/2006/relationships/hyperlink" Target="https://github.com/b-alfonso/Sistema_Remuneraciones_Reportes/blob/8042323e05d79880d01f45b24a855a2d50b6d377/04_Documentacion/09_Guia_Completa.md" TargetMode="External"/><Relationship Id="rId28" Type="http://schemas.openxmlformats.org/officeDocument/2006/relationships/image" Target="media/image3.png"/><Relationship Id="rId29" Type="http://schemas.openxmlformats.org/officeDocument/2006/relationships/hyperlink" Target="https://github.com/b-alfonso/Sistema_Remuneraciones_Reportes/blob/8042323e05d79880d01f45b24a855a2d50b6d377/04_Documentacion/Evidencias/05_Conciliacion_Idempotencia.png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cid:image001.png@01D8AF17.E885A19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14824b-a320-4373-85ea-73b3da18f163" xsi:nil="true"/>
    <lcf76f155ced4ddcb4097134ff3c332f xmlns="79ea598a-8a7a-4bdd-a4c2-f177b570944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1F8F196ED39C4CA2716856819011E9" ma:contentTypeVersion="11" ma:contentTypeDescription="Crear nuevo documento." ma:contentTypeScope="" ma:versionID="cbd9c1cfa447b1b908507f236217bcc0">
  <xsd:schema xmlns:xsd="http://www.w3.org/2001/XMLSchema" xmlns:xs="http://www.w3.org/2001/XMLSchema" xmlns:p="http://schemas.microsoft.com/office/2006/metadata/properties" xmlns:ns2="79ea598a-8a7a-4bdd-a4c2-f177b5709440" xmlns:ns3="2614824b-a320-4373-85ea-73b3da18f163" targetNamespace="http://schemas.microsoft.com/office/2006/metadata/properties" ma:root="true" ma:fieldsID="0c54825fc1bf2a1a004d0d3ba670269f" ns2:_="" ns3:_="">
    <xsd:import namespace="79ea598a-8a7a-4bdd-a4c2-f177b5709440"/>
    <xsd:import namespace="2614824b-a320-4373-85ea-73b3da18f1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ea598a-8a7a-4bdd-a4c2-f177b5709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14824b-a320-4373-85ea-73b3da18f1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2e5ac7-db71-4b5c-8bcd-506570ad1247}" ma:internalName="TaxCatchAll" ma:showField="CatchAllData" ma:web="2614824b-a320-4373-85ea-73b3da18f1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62FC43-E482-4149-907F-0D65F1C4AC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815EC6-D65E-4027-823B-7339BEB66178}">
  <ds:schemaRefs>
    <ds:schemaRef ds:uri="http://schemas.microsoft.com/office/2006/metadata/properties"/>
    <ds:schemaRef ds:uri="http://schemas.microsoft.com/office/infopath/2007/PartnerControls"/>
    <ds:schemaRef ds:uri="2614824b-a320-4373-85ea-73b3da18f163"/>
    <ds:schemaRef ds:uri="79ea598a-8a7a-4bdd-a4c2-f177b5709440"/>
  </ds:schemaRefs>
</ds:datastoreItem>
</file>

<file path=customXml/itemProps3.xml><?xml version="1.0" encoding="utf-8"?>
<ds:datastoreItem xmlns:ds="http://schemas.openxmlformats.org/officeDocument/2006/customXml" ds:itemID="{6E29EC09-DF90-4CBC-98BE-5BB5D23D94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0365A0-1391-4E28-9C98-99548E09DB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ea598a-8a7a-4bdd-a4c2-f177b5709440"/>
    <ds:schemaRef ds:uri="2614824b-a320-4373-85ea-73b3da18f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20</Pages>
  <Words>3695</Words>
  <Characters>20324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informe de proyecto final - Base de Datos Avanzadas y Big Data</vt:lpstr>
    </vt:vector>
  </TitlesOfParts>
  <Company/>
  <LinksUpToDate>false</LinksUpToDate>
  <CharactersWithSpaces>23972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Cuadros 3.2, 4.2, 4.3, 4.4, 4.5 y 6.2 — Solución BI</dc:title>
  <dc:subject>Evidencias de Experimentación, solución BI y solución Big Data</dc:subject>
  <dc:creator>Grupo 2</dc:creator>
  <cp:keywords/>
  <dc:description/>
  <cp:lastModifiedBy>Grupo 2</cp:lastModifiedBy>
  <cp:revision>8</cp:revision>
  <dcterms:created xsi:type="dcterms:W3CDTF">2026-07-22T22:57:00Z</dcterms:created>
  <dcterms:modified xsi:type="dcterms:W3CDTF">2026-10-24T02:24:39Z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0x010100B61F8F196ED39C4CA2716856819011E9</vt:lpwstr>
  </property>
</Properties>
</file>