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r>
        <w:drawing>
          <wp:inline xmlns:a="http://schemas.openxmlformats.org/drawingml/2006/main" xmlns:pic="http://schemas.openxmlformats.org/drawingml/2006/picture">
            <wp:extent cx="1440000" cy="730537"/>
            <wp:docPr id="1" name="Picture 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440000" cy="730537"/>
                    </a:xfrm>
                    <a:prstGeom prst="rect"/>
                  </pic:spPr>
                </pic:pic>
              </a:graphicData>
            </a:graphic>
          </wp:inline>
        </w:drawing>
      </w:r>
    </w:p>
    <w:p>
      <w:pPr>
        <w:jc w:val="center"/>
      </w:pPr>
      <w:r>
        <w:rPr>
          <w:b/>
        </w:rPr>
        <w:t>FACULTAD DE INGENIERÍA</w:t>
      </w:r>
    </w:p>
    <w:p>
      <w:pPr>
        <w:jc w:val="center"/>
      </w:pPr>
      <w:r>
        <w:rPr>
          <w:b/>
        </w:rPr>
        <w:t>CARRERA DE INGENIERÍA DE SISTEMAS COMPUTACIONALES</w:t>
      </w:r>
    </w:p>
    <w:p>
      <w:r>
        <w:rPr>
          <w:b w:val="0"/>
        </w:rPr>
      </w:r>
    </w:p>
    <w:p>
      <w:pPr>
        <w:jc w:val="center"/>
      </w:pPr>
      <w:r>
        <w:rPr>
          <w:b/>
        </w:rPr>
        <w:t>INFORME DE PROYECTO FINAL · ENTREGA T2</w:t>
      </w:r>
    </w:p>
    <w:p>
      <w:pPr>
        <w:jc w:val="center"/>
      </w:pPr>
      <w:r>
        <w:rPr>
          <w:b/>
        </w:rPr>
        <w:t>BASE DE DATOS AVANZADAS Y BIG DATA</w:t>
      </w:r>
    </w:p>
    <w:p>
      <w:pPr>
        <w:pStyle w:val="Title"/>
        <w:jc w:val="center"/>
      </w:pPr>
      <w:r>
        <w:rPr>
          <w:b w:val="0"/>
        </w:rPr>
        <w:t>Solución de Inteligencia de Negocios para el análisis del rendimiento del personal de A&amp;SG S.A.C.</w:t>
      </w:r>
    </w:p>
    <w:p>
      <w:r>
        <w:rPr>
          <w:b w:val="0"/>
        </w:rPr>
        <w:t>Alcance de esta entrega: BI con SQL Server, procedimiento ETL, Data Mart y Power BI. Los apartados de Big Data quedan reservados para la siguiente etapa.</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324"/>
            <w:shd w:fill="E7EFF5"/>
            <w:vAlign w:val="center"/>
          </w:tcPr>
          <w:p>
            <w:pPr>
              <w:spacing w:after="60" w:before="40" w:line="240" w:lineRule="auto"/>
            </w:pPr>
            <w:r>
              <w:rPr>
                <w:rFonts w:ascii="Arial" w:hAnsi="Arial"/>
                <w:b/>
                <w:sz w:val="18"/>
              </w:rPr>
              <w:t>DATOS DEL EQUIPO</w:t>
            </w:r>
          </w:p>
        </w:tc>
        <w:tc>
          <w:tcPr>
            <w:tcW w:type="dxa" w:w="7087"/>
            <w:shd w:fill="E7EFF5"/>
            <w:vAlign w:val="center"/>
          </w:tcPr>
          <w:p>
            <w:pPr>
              <w:spacing w:after="60" w:before="40" w:line="240" w:lineRule="auto"/>
            </w:pPr>
            <w:r>
              <w:rPr>
                <w:rFonts w:ascii="Arial" w:hAnsi="Arial"/>
                <w:b/>
                <w:sz w:val="18"/>
              </w:rPr>
              <w:t>INFORMACIÓN</w:t>
            </w:r>
          </w:p>
        </w:tc>
      </w:tr>
      <w:tr>
        <w:trPr>
          <w:cantSplit/>
        </w:trPr>
        <w:tc>
          <w:tcPr>
            <w:tcW w:type="dxa" w:w="2324"/>
            <w:vAlign w:val="center"/>
          </w:tcPr>
          <w:p>
            <w:pPr>
              <w:spacing w:after="60" w:before="40" w:line="240" w:lineRule="auto"/>
            </w:pPr>
            <w:r>
              <w:rPr>
                <w:rFonts w:ascii="Arial" w:hAnsi="Arial"/>
                <w:sz w:val="18"/>
              </w:rPr>
              <w:t>Autores</w:t>
            </w:r>
          </w:p>
        </w:tc>
        <w:tc>
          <w:tcPr>
            <w:tcW w:type="dxa" w:w="7087"/>
            <w:vAlign w:val="center"/>
          </w:tcPr>
          <w:p>
            <w:pPr>
              <w:spacing w:after="60" w:before="40" w:line="240" w:lineRule="auto"/>
            </w:pPr>
            <w:r>
              <w:rPr>
                <w:rFonts w:ascii="Arial" w:hAnsi="Arial"/>
                <w:sz w:val="18"/>
              </w:rPr>
              <w:t>Benjamin Alfonso</w:t>
              <w:br/>
              <w:t>Fernando Carhuatanta</w:t>
              <w:br/>
              <w:t>Diego Garrido</w:t>
              <w:br/>
              <w:t>Victor Paredes</w:t>
              <w:br/>
              <w:t>Luis Obregón</w:t>
            </w:r>
          </w:p>
        </w:tc>
      </w:tr>
      <w:tr>
        <w:trPr>
          <w:cantSplit/>
        </w:trPr>
        <w:tc>
          <w:tcPr>
            <w:tcW w:type="dxa" w:w="2324"/>
            <w:vAlign w:val="center"/>
          </w:tcPr>
          <w:p>
            <w:pPr>
              <w:spacing w:after="60" w:before="40" w:line="240" w:lineRule="auto"/>
            </w:pPr>
            <w:r>
              <w:rPr>
                <w:rFonts w:ascii="Arial" w:hAnsi="Arial"/>
                <w:sz w:val="18"/>
              </w:rPr>
              <w:t>Docente</w:t>
            </w:r>
          </w:p>
        </w:tc>
        <w:tc>
          <w:tcPr>
            <w:tcW w:type="dxa" w:w="7087"/>
            <w:vAlign w:val="center"/>
          </w:tcPr>
          <w:p>
            <w:pPr>
              <w:spacing w:after="60" w:before="40" w:line="240" w:lineRule="auto"/>
            </w:pPr>
            <w:r>
              <w:rPr>
                <w:rFonts w:ascii="Arial" w:hAnsi="Arial"/>
                <w:sz w:val="18"/>
              </w:rPr>
              <w:t>Victor Isaac Chavez Bardales</w:t>
            </w:r>
          </w:p>
        </w:tc>
      </w:tr>
      <w:tr>
        <w:trPr>
          <w:cantSplit/>
        </w:trPr>
        <w:tc>
          <w:tcPr>
            <w:tcW w:type="dxa" w:w="2324"/>
            <w:vAlign w:val="center"/>
          </w:tcPr>
          <w:p>
            <w:pPr>
              <w:spacing w:after="60" w:before="40" w:line="240" w:lineRule="auto"/>
            </w:pPr>
            <w:r>
              <w:rPr>
                <w:rFonts w:ascii="Arial" w:hAnsi="Arial"/>
                <w:sz w:val="18"/>
              </w:rPr>
              <w:t>Curso / NRC</w:t>
            </w:r>
          </w:p>
        </w:tc>
        <w:tc>
          <w:tcPr>
            <w:tcW w:type="dxa" w:w="7087"/>
            <w:vAlign w:val="center"/>
          </w:tcPr>
          <w:p>
            <w:pPr>
              <w:spacing w:after="60" w:before="40" w:line="240" w:lineRule="auto"/>
            </w:pPr>
            <w:r>
              <w:rPr>
                <w:rFonts w:ascii="Arial" w:hAnsi="Arial"/>
                <w:sz w:val="18"/>
              </w:rPr>
              <w:t>Base de Datos Avanzadas y Big Data / 26043</w:t>
            </w:r>
          </w:p>
        </w:tc>
      </w:tr>
      <w:tr>
        <w:trPr>
          <w:cantSplit/>
        </w:trPr>
        <w:tc>
          <w:tcPr>
            <w:tcW w:type="dxa" w:w="2324"/>
            <w:vAlign w:val="center"/>
          </w:tcPr>
          <w:p>
            <w:pPr>
              <w:spacing w:after="60" w:before="40" w:line="240" w:lineRule="auto"/>
            </w:pPr>
            <w:r>
              <w:rPr>
                <w:rFonts w:ascii="Arial" w:hAnsi="Arial"/>
                <w:sz w:val="18"/>
              </w:rPr>
              <w:t>Repositorio</w:t>
            </w:r>
          </w:p>
        </w:tc>
        <w:tc>
          <w:tcPr>
            <w:tcW w:type="dxa" w:w="7087"/>
            <w:vAlign w:val="center"/>
          </w:tcPr>
          <w:p>
            <w:pPr>
              <w:spacing w:after="60" w:before="40" w:line="240" w:lineRule="auto"/>
            </w:pPr>
            <w:r>
              <w:rPr>
                <w:rFonts w:ascii="Arial" w:hAnsi="Arial"/>
                <w:sz w:val="18"/>
              </w:rPr>
              <w:t>Sistema_Remuneraciones_Reportes</w:t>
            </w:r>
          </w:p>
        </w:tc>
      </w:tr>
      <w:tr>
        <w:trPr>
          <w:cantSplit/>
        </w:trPr>
        <w:tc>
          <w:tcPr>
            <w:tcW w:type="dxa" w:w="2324"/>
            <w:vAlign w:val="center"/>
          </w:tcPr>
          <w:p>
            <w:pPr>
              <w:spacing w:after="60" w:before="40" w:line="240" w:lineRule="auto"/>
            </w:pPr>
            <w:r>
              <w:rPr>
                <w:rFonts w:ascii="Arial" w:hAnsi="Arial"/>
                <w:sz w:val="18"/>
              </w:rPr>
              <w:t>Período</w:t>
            </w:r>
          </w:p>
        </w:tc>
        <w:tc>
          <w:tcPr>
            <w:tcW w:type="dxa" w:w="7087"/>
            <w:vAlign w:val="center"/>
          </w:tcPr>
          <w:p>
            <w:pPr>
              <w:spacing w:after="60" w:before="40" w:line="240" w:lineRule="auto"/>
            </w:pPr>
            <w:r>
              <w:rPr>
                <w:rFonts w:ascii="Arial" w:hAnsi="Arial"/>
                <w:sz w:val="18"/>
              </w:rPr>
              <w:t>2026-2</w:t>
            </w:r>
          </w:p>
        </w:tc>
      </w:tr>
      <w:tr>
        <w:trPr>
          <w:cantSplit/>
        </w:trPr>
        <w:tc>
          <w:tcPr>
            <w:tcW w:type="dxa" w:w="2324"/>
            <w:vAlign w:val="center"/>
          </w:tcPr>
          <w:p>
            <w:pPr>
              <w:spacing w:after="60" w:before="40" w:line="240" w:lineRule="auto"/>
            </w:pPr>
            <w:r>
              <w:rPr>
                <w:rFonts w:ascii="Arial" w:hAnsi="Arial"/>
                <w:sz w:val="18"/>
              </w:rPr>
              <w:t>Datos analizados</w:t>
            </w:r>
          </w:p>
        </w:tc>
        <w:tc>
          <w:tcPr>
            <w:tcW w:type="dxa" w:w="7087"/>
            <w:vAlign w:val="center"/>
          </w:tcPr>
          <w:p>
            <w:pPr>
              <w:spacing w:after="60" w:before="40" w:line="240" w:lineRule="auto"/>
            </w:pPr>
            <w:r>
              <w:rPr>
                <w:rFonts w:ascii="Arial" w:hAnsi="Arial"/>
                <w:sz w:val="18"/>
              </w:rPr>
              <w:t>Julio, agosto y septiembre de 2026</w:t>
            </w:r>
          </w:p>
        </w:tc>
      </w:tr>
    </w:tbl>
    <w:p>
      <w:r>
        <w:rPr>
          <w:b w:val="0"/>
        </w:rPr>
      </w:r>
    </w:p>
    <w:p>
      <w:r>
        <w:rPr>
          <w:b w:val="0"/>
        </w:rPr>
      </w:r>
      <w:hyperlink r:id="rId12">
        <w:r>
          <w:rPr>
            <w:color w:val="0563C1"/>
            <w:u w:val="single"/>
          </w:rPr>
          <w:t>Repositorio del proyecto</w:t>
        </w:r>
      </w:hyperlink>
    </w:p>
    <w:p>
      <w:pPr>
        <w:jc w:val="center"/>
      </w:pPr>
      <w:r>
        <w:rPr>
          <w:b w:val="0"/>
        </w:rPr>
        <w:t>Lima, Perú · 2026</w:t>
      </w:r>
    </w:p>
    <w:p>
      <w:bookmarkStart w:id="1" w:name="seccion_1"/>
      <w:pPr>
        <w:pStyle w:val="Heading1"/>
      </w:pPr>
      <w:r>
        <w:t>ÍNDICE</w:t>
      </w:r>
      <w:bookmarkEnd w:id="1"/>
    </w:p>
    <w:p>
      <w:r>
        <w:rPr>
          <w:b w:val="0"/>
        </w:rPr>
        <w:t>El índice enlaza los capítulos y apartados del documento.</w:t>
      </w:r>
    </w:p>
    <w:p>
      <w:pPr>
        <w:tabs>
          <w:tab w:pos="9128" w:val="right" w:leader="dot"/>
        </w:tabs>
        <w:spacing w:after="40" w:line="240" w:lineRule="auto"/>
        <w:ind w:left="0"/>
      </w:pPr>
      <w:hyperlink w:anchor="seccion_5">
        <w:r>
          <w:rPr>
            <w:sz w:val="19"/>
            <w:b/>
          </w:rPr>
          <w:t>RESUMEN</w:t>
        </w:r>
      </w:hyperlink>
      <w:r>
        <w:rPr>
          <w:sz w:val="19"/>
        </w:rPr>
        <w:tab/>
        <w:t>4</w:t>
      </w:r>
    </w:p>
    <w:p>
      <w:pPr>
        <w:tabs>
          <w:tab w:pos="8929" w:val="right" w:leader="dot"/>
        </w:tabs>
        <w:spacing w:after="40" w:line="240" w:lineRule="auto"/>
        <w:ind w:left="198"/>
      </w:pPr>
      <w:hyperlink w:anchor="seccion_6">
        <w:r>
          <w:rPr>
            <w:sz w:val="19"/>
          </w:rPr>
          <w:t>ABSTRACT</w:t>
        </w:r>
      </w:hyperlink>
      <w:r>
        <w:rPr>
          <w:sz w:val="19"/>
        </w:rPr>
        <w:tab/>
        <w:t>4</w:t>
      </w:r>
    </w:p>
    <w:p>
      <w:pPr>
        <w:tabs>
          <w:tab w:pos="9128" w:val="right" w:leader="dot"/>
        </w:tabs>
        <w:spacing w:after="40" w:line="240" w:lineRule="auto"/>
        <w:ind w:left="0"/>
      </w:pPr>
      <w:hyperlink w:anchor="seccion_7">
        <w:r>
          <w:rPr>
            <w:sz w:val="19"/>
            <w:b/>
          </w:rPr>
          <w:t>CAPÍTULO I: CONTEXTO, PROBLEMA Y OBJETIVOS</w:t>
        </w:r>
      </w:hyperlink>
      <w:r>
        <w:rPr>
          <w:sz w:val="19"/>
        </w:rPr>
        <w:tab/>
        <w:t>5</w:t>
      </w:r>
    </w:p>
    <w:p>
      <w:pPr>
        <w:tabs>
          <w:tab w:pos="8929" w:val="right" w:leader="dot"/>
        </w:tabs>
        <w:spacing w:after="40" w:line="240" w:lineRule="auto"/>
        <w:ind w:left="198"/>
      </w:pPr>
      <w:hyperlink w:anchor="seccion_8">
        <w:r>
          <w:rPr>
            <w:sz w:val="19"/>
          </w:rPr>
          <w:t>1.1 Contexto y necesidad empresarial</w:t>
        </w:r>
      </w:hyperlink>
      <w:r>
        <w:rPr>
          <w:sz w:val="19"/>
        </w:rPr>
        <w:tab/>
        <w:t>5</w:t>
      </w:r>
    </w:p>
    <w:p>
      <w:pPr>
        <w:tabs>
          <w:tab w:pos="8929" w:val="right" w:leader="dot"/>
        </w:tabs>
        <w:spacing w:after="40" w:line="240" w:lineRule="auto"/>
        <w:ind w:left="198"/>
      </w:pPr>
      <w:hyperlink w:anchor="seccion_9">
        <w:r>
          <w:rPr>
            <w:sz w:val="19"/>
          </w:rPr>
          <w:t>1.2 Formulación del problema de ingeniería</w:t>
        </w:r>
      </w:hyperlink>
      <w:r>
        <w:rPr>
          <w:sz w:val="19"/>
        </w:rPr>
        <w:tab/>
        <w:t>5</w:t>
      </w:r>
    </w:p>
    <w:p>
      <w:pPr>
        <w:tabs>
          <w:tab w:pos="8929" w:val="right" w:leader="dot"/>
        </w:tabs>
        <w:spacing w:after="40" w:line="240" w:lineRule="auto"/>
        <w:ind w:left="198"/>
      </w:pPr>
      <w:hyperlink w:anchor="seccion_10">
        <w:r>
          <w:rPr>
            <w:sz w:val="19"/>
          </w:rPr>
          <w:t>1.3 Objetivos</w:t>
        </w:r>
      </w:hyperlink>
      <w:r>
        <w:rPr>
          <w:sz w:val="19"/>
        </w:rPr>
        <w:tab/>
        <w:t>5</w:t>
      </w:r>
    </w:p>
    <w:p>
      <w:pPr>
        <w:tabs>
          <w:tab w:pos="8929" w:val="right" w:leader="dot"/>
        </w:tabs>
        <w:spacing w:after="40" w:line="240" w:lineRule="auto"/>
        <w:ind w:left="198"/>
      </w:pPr>
      <w:hyperlink w:anchor="seccion_11">
        <w:r>
          <w:rPr>
            <w:sz w:val="19"/>
          </w:rPr>
          <w:t>1.4 Alcance, restricciones y supuestos</w:t>
        </w:r>
      </w:hyperlink>
      <w:r>
        <w:rPr>
          <w:sz w:val="19"/>
        </w:rPr>
        <w:tab/>
        <w:t>6</w:t>
      </w:r>
    </w:p>
    <w:p>
      <w:pPr>
        <w:tabs>
          <w:tab w:pos="8929" w:val="right" w:leader="dot"/>
        </w:tabs>
        <w:spacing w:after="40" w:line="240" w:lineRule="auto"/>
        <w:ind w:left="198"/>
      </w:pPr>
      <w:hyperlink w:anchor="seccion_12">
        <w:r>
          <w:rPr>
            <w:sz w:val="19"/>
          </w:rPr>
          <w:t>1.5 Stakeholders y criterios de éxito</w:t>
        </w:r>
      </w:hyperlink>
      <w:r>
        <w:rPr>
          <w:sz w:val="19"/>
        </w:rPr>
        <w:tab/>
        <w:t>6</w:t>
      </w:r>
    </w:p>
    <w:p>
      <w:pPr>
        <w:tabs>
          <w:tab w:pos="8929" w:val="right" w:leader="dot"/>
        </w:tabs>
        <w:spacing w:after="40" w:line="240" w:lineRule="auto"/>
        <w:ind w:left="198"/>
      </w:pPr>
      <w:hyperlink w:anchor="seccion_13">
        <w:r>
          <w:rPr>
            <w:sz w:val="19"/>
          </w:rPr>
          <w:t>1.6 Fuentes, gobierno y ética de los datos</w:t>
        </w:r>
      </w:hyperlink>
      <w:r>
        <w:rPr>
          <w:sz w:val="19"/>
        </w:rPr>
        <w:tab/>
        <w:t>6</w:t>
      </w:r>
    </w:p>
    <w:p>
      <w:pPr>
        <w:tabs>
          <w:tab w:pos="9128" w:val="right" w:leader="dot"/>
        </w:tabs>
        <w:spacing w:after="40" w:line="240" w:lineRule="auto"/>
        <w:ind w:left="0"/>
      </w:pPr>
      <w:hyperlink w:anchor="seccion_14">
        <w:r>
          <w:rPr>
            <w:sz w:val="19"/>
            <w:b/>
          </w:rPr>
          <w:t>CAPÍTULO II: ANTECEDENTES Y FUNDAMENTOS</w:t>
        </w:r>
      </w:hyperlink>
      <w:r>
        <w:rPr>
          <w:sz w:val="19"/>
        </w:rPr>
        <w:tab/>
        <w:t>7</w:t>
      </w:r>
    </w:p>
    <w:p>
      <w:pPr>
        <w:tabs>
          <w:tab w:pos="8929" w:val="right" w:leader="dot"/>
        </w:tabs>
        <w:spacing w:after="40" w:line="240" w:lineRule="auto"/>
        <w:ind w:left="198"/>
      </w:pPr>
      <w:hyperlink w:anchor="seccion_15">
        <w:r>
          <w:rPr>
            <w:sz w:val="19"/>
          </w:rPr>
          <w:t>2.1 Antecedentes</w:t>
        </w:r>
      </w:hyperlink>
      <w:r>
        <w:rPr>
          <w:sz w:val="19"/>
        </w:rPr>
        <w:tab/>
        <w:t>7</w:t>
      </w:r>
    </w:p>
    <w:p>
      <w:pPr>
        <w:tabs>
          <w:tab w:pos="8929" w:val="right" w:leader="dot"/>
        </w:tabs>
        <w:spacing w:after="40" w:line="240" w:lineRule="auto"/>
        <w:ind w:left="198"/>
      </w:pPr>
      <w:hyperlink w:anchor="seccion_16">
        <w:r>
          <w:rPr>
            <w:sz w:val="19"/>
          </w:rPr>
          <w:t>2.2 Fundamentos de Inteligencia de Negocios</w:t>
        </w:r>
      </w:hyperlink>
      <w:r>
        <w:rPr>
          <w:sz w:val="19"/>
        </w:rPr>
        <w:tab/>
        <w:t>7</w:t>
      </w:r>
    </w:p>
    <w:p>
      <w:pPr>
        <w:tabs>
          <w:tab w:pos="8929" w:val="right" w:leader="dot"/>
        </w:tabs>
        <w:spacing w:after="40" w:line="240" w:lineRule="auto"/>
        <w:ind w:left="198"/>
      </w:pPr>
      <w:hyperlink w:anchor="seccion_17">
        <w:r>
          <w:rPr>
            <w:sz w:val="19"/>
          </w:rPr>
          <w:t>2.3 Fundamentos de Big Data</w:t>
        </w:r>
      </w:hyperlink>
      <w:r>
        <w:rPr>
          <w:sz w:val="19"/>
        </w:rPr>
        <w:tab/>
        <w:t>7</w:t>
      </w:r>
    </w:p>
    <w:p>
      <w:pPr>
        <w:tabs>
          <w:tab w:pos="8929" w:val="right" w:leader="dot"/>
        </w:tabs>
        <w:spacing w:after="40" w:line="240" w:lineRule="auto"/>
        <w:ind w:left="198"/>
      </w:pPr>
      <w:hyperlink w:anchor="seccion_18">
        <w:r>
          <w:rPr>
            <w:sz w:val="19"/>
          </w:rPr>
          <w:t>2.4 Tecnologías, estándares y trabajos relacionados</w:t>
        </w:r>
      </w:hyperlink>
      <w:r>
        <w:rPr>
          <w:sz w:val="19"/>
        </w:rPr>
        <w:tab/>
        <w:t>7</w:t>
      </w:r>
    </w:p>
    <w:p>
      <w:pPr>
        <w:tabs>
          <w:tab w:pos="9128" w:val="right" w:leader="dot"/>
        </w:tabs>
        <w:spacing w:after="40" w:line="240" w:lineRule="auto"/>
        <w:ind w:left="0"/>
      </w:pPr>
      <w:hyperlink w:anchor="seccion_19">
        <w:r>
          <w:rPr>
            <w:sz w:val="19"/>
            <w:b/>
          </w:rPr>
          <w:t>CAPÍTULO III: DISEÑO DE INGENIERÍA DE LAS SOLUCIONES</w:t>
        </w:r>
      </w:hyperlink>
      <w:r>
        <w:rPr>
          <w:sz w:val="19"/>
        </w:rPr>
        <w:tab/>
        <w:t>9</w:t>
      </w:r>
    </w:p>
    <w:p>
      <w:pPr>
        <w:tabs>
          <w:tab w:pos="8929" w:val="right" w:leader="dot"/>
        </w:tabs>
        <w:spacing w:after="40" w:line="240" w:lineRule="auto"/>
        <w:ind w:left="198"/>
      </w:pPr>
      <w:hyperlink w:anchor="seccion_20">
        <w:r>
          <w:rPr>
            <w:sz w:val="19"/>
          </w:rPr>
          <w:t>3.1 Requerimientos funcionales y no funcionales</w:t>
        </w:r>
      </w:hyperlink>
      <w:r>
        <w:rPr>
          <w:sz w:val="19"/>
        </w:rPr>
        <w:tab/>
        <w:t>9</w:t>
      </w:r>
    </w:p>
    <w:p>
      <w:pPr>
        <w:tabs>
          <w:tab w:pos="8929" w:val="right" w:leader="dot"/>
        </w:tabs>
        <w:spacing w:after="40" w:line="240" w:lineRule="auto"/>
        <w:ind w:left="198"/>
      </w:pPr>
      <w:hyperlink w:anchor="seccion_21">
        <w:r>
          <w:rPr>
            <w:sz w:val="19"/>
          </w:rPr>
          <w:t>3.2 Alternativas y decisiones de arquitectura</w:t>
        </w:r>
      </w:hyperlink>
      <w:r>
        <w:rPr>
          <w:sz w:val="19"/>
        </w:rPr>
        <w:tab/>
        <w:t>9</w:t>
      </w:r>
    </w:p>
    <w:p>
      <w:pPr>
        <w:tabs>
          <w:tab w:pos="8929" w:val="right" w:leader="dot"/>
        </w:tabs>
        <w:spacing w:after="40" w:line="240" w:lineRule="auto"/>
        <w:ind w:left="198"/>
      </w:pPr>
      <w:hyperlink w:anchor="seccion_22">
        <w:r>
          <w:rPr>
            <w:sz w:val="19"/>
          </w:rPr>
          <w:t>3.3 Arquitectura integrada y flujo de datos</w:t>
        </w:r>
      </w:hyperlink>
      <w:r>
        <w:rPr>
          <w:sz w:val="19"/>
        </w:rPr>
        <w:tab/>
        <w:t>9</w:t>
      </w:r>
    </w:p>
    <w:p>
      <w:pPr>
        <w:tabs>
          <w:tab w:pos="8929" w:val="right" w:leader="dot"/>
        </w:tabs>
        <w:spacing w:after="40" w:line="240" w:lineRule="auto"/>
        <w:ind w:left="198"/>
      </w:pPr>
      <w:hyperlink w:anchor="seccion_23">
        <w:r>
          <w:rPr>
            <w:sz w:val="19"/>
          </w:rPr>
          <w:t>3.4 Diseño de la solución de Inteligencia de Negocios</w:t>
        </w:r>
      </w:hyperlink>
      <w:r>
        <w:rPr>
          <w:sz w:val="19"/>
        </w:rPr>
        <w:tab/>
        <w:t>10</w:t>
      </w:r>
    </w:p>
    <w:p>
      <w:pPr>
        <w:tabs>
          <w:tab w:pos="8929" w:val="right" w:leader="dot"/>
        </w:tabs>
        <w:spacing w:after="40" w:line="240" w:lineRule="auto"/>
        <w:ind w:left="198"/>
      </w:pPr>
      <w:hyperlink w:anchor="seccion_28">
        <w:r>
          <w:rPr>
            <w:sz w:val="19"/>
          </w:rPr>
          <w:t>3.5 Diseño de la solución Big Data</w:t>
        </w:r>
      </w:hyperlink>
      <w:r>
        <w:rPr>
          <w:sz w:val="19"/>
        </w:rPr>
        <w:tab/>
        <w:t>14</w:t>
      </w:r>
    </w:p>
    <w:p>
      <w:pPr>
        <w:tabs>
          <w:tab w:pos="8929" w:val="right" w:leader="dot"/>
        </w:tabs>
        <w:spacing w:after="40" w:line="240" w:lineRule="auto"/>
        <w:ind w:left="198"/>
      </w:pPr>
      <w:hyperlink w:anchor="seccion_34">
        <w:r>
          <w:rPr>
            <w:sz w:val="19"/>
          </w:rPr>
          <w:t>3.6 Seguridad, privacidad y riesgos</w:t>
        </w:r>
      </w:hyperlink>
      <w:r>
        <w:rPr>
          <w:sz w:val="19"/>
        </w:rPr>
        <w:tab/>
        <w:t>14</w:t>
      </w:r>
    </w:p>
    <w:p>
      <w:pPr>
        <w:tabs>
          <w:tab w:pos="8929" w:val="right" w:leader="dot"/>
        </w:tabs>
        <w:spacing w:after="40" w:line="240" w:lineRule="auto"/>
        <w:ind w:left="198"/>
      </w:pPr>
      <w:hyperlink w:anchor="seccion_35">
        <w:r>
          <w:rPr>
            <w:sz w:val="19"/>
          </w:rPr>
          <w:t>3.7 Plan de despliegue y aceptación</w:t>
        </w:r>
      </w:hyperlink>
      <w:r>
        <w:rPr>
          <w:sz w:val="19"/>
        </w:rPr>
        <w:tab/>
        <w:t>15</w:t>
      </w:r>
    </w:p>
    <w:p>
      <w:pPr>
        <w:tabs>
          <w:tab w:pos="9128" w:val="right" w:leader="dot"/>
        </w:tabs>
        <w:spacing w:after="40" w:line="240" w:lineRule="auto"/>
        <w:ind w:left="0"/>
      </w:pPr>
      <w:hyperlink w:anchor="seccion_36">
        <w:r>
          <w:rPr>
            <w:sz w:val="19"/>
            <w:b/>
          </w:rPr>
          <w:t>CAPÍTULO IV: DISEÑO DEL EXPERIMENTO</w:t>
        </w:r>
      </w:hyperlink>
      <w:r>
        <w:rPr>
          <w:sz w:val="19"/>
        </w:rPr>
        <w:tab/>
        <w:t>16</w:t>
      </w:r>
    </w:p>
    <w:p>
      <w:pPr>
        <w:tabs>
          <w:tab w:pos="8929" w:val="right" w:leader="dot"/>
        </w:tabs>
        <w:spacing w:after="40" w:line="240" w:lineRule="auto"/>
        <w:ind w:left="198"/>
      </w:pPr>
      <w:hyperlink w:anchor="seccion_37">
        <w:r>
          <w:rPr>
            <w:sz w:val="19"/>
          </w:rPr>
          <w:t>4.1 Pregunta experimental, objetivo e hipótesis</w:t>
        </w:r>
      </w:hyperlink>
      <w:r>
        <w:rPr>
          <w:sz w:val="19"/>
        </w:rPr>
        <w:tab/>
        <w:t>16</w:t>
      </w:r>
    </w:p>
    <w:p>
      <w:pPr>
        <w:tabs>
          <w:tab w:pos="8929" w:val="right" w:leader="dot"/>
        </w:tabs>
        <w:spacing w:after="40" w:line="240" w:lineRule="auto"/>
        <w:ind w:left="198"/>
      </w:pPr>
      <w:hyperlink w:anchor="seccion_38">
        <w:r>
          <w:rPr>
            <w:sz w:val="19"/>
          </w:rPr>
          <w:t>4.2 Escenario y datasets</w:t>
        </w:r>
      </w:hyperlink>
      <w:r>
        <w:rPr>
          <w:sz w:val="19"/>
        </w:rPr>
        <w:tab/>
        <w:t>16</w:t>
      </w:r>
    </w:p>
    <w:p>
      <w:pPr>
        <w:tabs>
          <w:tab w:pos="8929" w:val="right" w:leader="dot"/>
        </w:tabs>
        <w:spacing w:after="40" w:line="240" w:lineRule="auto"/>
        <w:ind w:left="198"/>
      </w:pPr>
      <w:hyperlink w:anchor="seccion_39">
        <w:r>
          <w:rPr>
            <w:sz w:val="19"/>
          </w:rPr>
          <w:t>4.3 Variables, métricas y criterios de aceptación</w:t>
        </w:r>
      </w:hyperlink>
      <w:r>
        <w:rPr>
          <w:sz w:val="19"/>
        </w:rPr>
        <w:tab/>
        <w:t>16</w:t>
      </w:r>
    </w:p>
    <w:p>
      <w:pPr>
        <w:tabs>
          <w:tab w:pos="8929" w:val="right" w:leader="dot"/>
        </w:tabs>
        <w:spacing w:after="40" w:line="240" w:lineRule="auto"/>
        <w:ind w:left="198"/>
      </w:pPr>
      <w:hyperlink w:anchor="seccion_40">
        <w:r>
          <w:rPr>
            <w:sz w:val="19"/>
          </w:rPr>
          <w:t>4.4 Entorno, herramientas y reproducibilidad</w:t>
        </w:r>
      </w:hyperlink>
      <w:r>
        <w:rPr>
          <w:sz w:val="19"/>
        </w:rPr>
        <w:tab/>
        <w:t>17</w:t>
      </w:r>
    </w:p>
    <w:p>
      <w:pPr>
        <w:tabs>
          <w:tab w:pos="8929" w:val="right" w:leader="dot"/>
        </w:tabs>
        <w:spacing w:after="40" w:line="240" w:lineRule="auto"/>
        <w:ind w:left="198"/>
      </w:pPr>
      <w:hyperlink w:anchor="seccion_41">
        <w:r>
          <w:rPr>
            <w:sz w:val="19"/>
          </w:rPr>
          <w:t>4.5 Matriz de escenarios experimentales</w:t>
        </w:r>
      </w:hyperlink>
      <w:r>
        <w:rPr>
          <w:sz w:val="19"/>
        </w:rPr>
        <w:tab/>
        <w:t>17</w:t>
      </w:r>
    </w:p>
    <w:p>
      <w:pPr>
        <w:tabs>
          <w:tab w:pos="8929" w:val="right" w:leader="dot"/>
        </w:tabs>
        <w:spacing w:after="40" w:line="240" w:lineRule="auto"/>
        <w:ind w:left="198"/>
      </w:pPr>
      <w:hyperlink w:anchor="seccion_42">
        <w:r>
          <w:rPr>
            <w:sz w:val="19"/>
          </w:rPr>
          <w:t>4.6 Procedimiento reproducible</w:t>
        </w:r>
      </w:hyperlink>
      <w:r>
        <w:rPr>
          <w:sz w:val="19"/>
        </w:rPr>
        <w:tab/>
        <w:t>17</w:t>
      </w:r>
    </w:p>
    <w:p>
      <w:pPr>
        <w:tabs>
          <w:tab w:pos="8929" w:val="right" w:leader="dot"/>
        </w:tabs>
        <w:spacing w:after="40" w:line="240" w:lineRule="auto"/>
        <w:ind w:left="198"/>
      </w:pPr>
      <w:hyperlink w:anchor="seccion_43">
        <w:r>
          <w:rPr>
            <w:sz w:val="19"/>
          </w:rPr>
          <w:t>4.7 Riesgos, validez y limitaciones del experimento</w:t>
        </w:r>
      </w:hyperlink>
      <w:r>
        <w:rPr>
          <w:sz w:val="19"/>
        </w:rPr>
        <w:tab/>
        <w:t>18</w:t>
      </w:r>
    </w:p>
    <w:p>
      <w:pPr>
        <w:tabs>
          <w:tab w:pos="9128" w:val="right" w:leader="dot"/>
        </w:tabs>
        <w:spacing w:after="40" w:line="240" w:lineRule="auto"/>
        <w:ind w:left="0"/>
      </w:pPr>
      <w:hyperlink w:anchor="seccion_44">
        <w:r>
          <w:rPr>
            <w:sz w:val="19"/>
            <w:b/>
          </w:rPr>
          <w:t>CAPÍTULO V: IMPLEMENTACIÓN Y CONTROL DE EVIDENCIAS</w:t>
        </w:r>
      </w:hyperlink>
      <w:r>
        <w:rPr>
          <w:sz w:val="19"/>
        </w:rPr>
        <w:tab/>
        <w:t>19</w:t>
      </w:r>
    </w:p>
    <w:p>
      <w:pPr>
        <w:tabs>
          <w:tab w:pos="8929" w:val="right" w:leader="dot"/>
        </w:tabs>
        <w:spacing w:after="40" w:line="240" w:lineRule="auto"/>
        <w:ind w:left="198"/>
      </w:pPr>
      <w:hyperlink w:anchor="seccion_45">
        <w:r>
          <w:rPr>
            <w:sz w:val="19"/>
          </w:rPr>
          <w:t>5.1 Estructura y versión del repositorio</w:t>
        </w:r>
      </w:hyperlink>
      <w:r>
        <w:rPr>
          <w:sz w:val="19"/>
        </w:rPr>
        <w:tab/>
        <w:t>19</w:t>
      </w:r>
    </w:p>
    <w:p>
      <w:pPr>
        <w:tabs>
          <w:tab w:pos="8929" w:val="right" w:leader="dot"/>
        </w:tabs>
        <w:spacing w:after="40" w:line="240" w:lineRule="auto"/>
        <w:ind w:left="198"/>
      </w:pPr>
      <w:hyperlink w:anchor="seccion_46">
        <w:r>
          <w:rPr>
            <w:sz w:val="19"/>
          </w:rPr>
          <w:t>5.2 Implementación de la solución BI</w:t>
        </w:r>
      </w:hyperlink>
      <w:r>
        <w:rPr>
          <w:sz w:val="19"/>
        </w:rPr>
        <w:tab/>
        <w:t>19</w:t>
      </w:r>
    </w:p>
    <w:p>
      <w:pPr>
        <w:tabs>
          <w:tab w:pos="8929" w:val="right" w:leader="dot"/>
        </w:tabs>
        <w:spacing w:after="40" w:line="240" w:lineRule="auto"/>
        <w:ind w:left="198"/>
      </w:pPr>
      <w:hyperlink w:anchor="seccion_47">
        <w:r>
          <w:rPr>
            <w:sz w:val="19"/>
          </w:rPr>
          <w:t>5.3 Implementación de la solución Big Data</w:t>
        </w:r>
      </w:hyperlink>
      <w:r>
        <w:rPr>
          <w:sz w:val="19"/>
        </w:rPr>
        <w:tab/>
        <w:t>20</w:t>
      </w:r>
    </w:p>
    <w:p>
      <w:pPr>
        <w:tabs>
          <w:tab w:pos="8929" w:val="right" w:leader="dot"/>
        </w:tabs>
        <w:spacing w:after="40" w:line="240" w:lineRule="auto"/>
        <w:ind w:left="198"/>
      </w:pPr>
      <w:hyperlink w:anchor="seccion_48">
        <w:r>
          <w:rPr>
            <w:sz w:val="19"/>
          </w:rPr>
          <w:t>5.4 Calidad, seguridad y pruebas</w:t>
        </w:r>
      </w:hyperlink>
      <w:r>
        <w:rPr>
          <w:sz w:val="19"/>
        </w:rPr>
        <w:tab/>
        <w:t>20</w:t>
      </w:r>
    </w:p>
    <w:p>
      <w:pPr>
        <w:tabs>
          <w:tab w:pos="8929" w:val="right" w:leader="dot"/>
        </w:tabs>
        <w:spacing w:after="40" w:line="240" w:lineRule="auto"/>
        <w:ind w:left="198"/>
      </w:pPr>
      <w:hyperlink w:anchor="seccion_49">
        <w:r>
          <w:rPr>
            <w:sz w:val="19"/>
          </w:rPr>
          <w:t>5.5 Registro de retroalimentación y mejoras</w:t>
        </w:r>
      </w:hyperlink>
      <w:r>
        <w:rPr>
          <w:sz w:val="19"/>
        </w:rPr>
        <w:tab/>
        <w:t>21</w:t>
      </w:r>
    </w:p>
    <w:p>
      <w:pPr>
        <w:tabs>
          <w:tab w:pos="8929" w:val="right" w:leader="dot"/>
        </w:tabs>
        <w:spacing w:after="40" w:line="240" w:lineRule="auto"/>
        <w:ind w:left="198"/>
      </w:pPr>
      <w:hyperlink w:anchor="seccion_50">
        <w:r>
          <w:rPr>
            <w:sz w:val="19"/>
          </w:rPr>
          <w:t>5.6 Contribuciones individuales</w:t>
        </w:r>
      </w:hyperlink>
      <w:r>
        <w:rPr>
          <w:sz w:val="19"/>
        </w:rPr>
        <w:tab/>
        <w:t>21</w:t>
      </w:r>
    </w:p>
    <w:p>
      <w:pPr>
        <w:tabs>
          <w:tab w:pos="8929" w:val="right" w:leader="dot"/>
        </w:tabs>
        <w:spacing w:after="40" w:line="240" w:lineRule="auto"/>
        <w:ind w:left="198"/>
      </w:pPr>
      <w:hyperlink w:anchor="seccion_51">
        <w:r>
          <w:rPr>
            <w:sz w:val="19"/>
          </w:rPr>
          <w:t>5.7 Declaración de uso responsable de inteligencia artificial</w:t>
        </w:r>
      </w:hyperlink>
      <w:r>
        <w:rPr>
          <w:sz w:val="19"/>
        </w:rPr>
        <w:tab/>
        <w:t>21</w:t>
      </w:r>
    </w:p>
    <w:p>
      <w:pPr>
        <w:tabs>
          <w:tab w:pos="9128" w:val="right" w:leader="dot"/>
        </w:tabs>
        <w:spacing w:after="40" w:line="240" w:lineRule="auto"/>
        <w:ind w:left="0"/>
      </w:pPr>
      <w:hyperlink w:anchor="seccion_52">
        <w:r>
          <w:rPr>
            <w:sz w:val="19"/>
            <w:b/>
          </w:rPr>
          <w:t>CAPÍTULO VI: EJECUCIÓN, RESULTADOS Y ANÁLISIS DE DATOS</w:t>
        </w:r>
      </w:hyperlink>
      <w:r>
        <w:rPr>
          <w:sz w:val="19"/>
        </w:rPr>
        <w:tab/>
        <w:t>22</w:t>
      </w:r>
    </w:p>
    <w:p>
      <w:pPr>
        <w:tabs>
          <w:tab w:pos="8929" w:val="right" w:leader="dot"/>
        </w:tabs>
        <w:spacing w:after="40" w:line="240" w:lineRule="auto"/>
        <w:ind w:left="198"/>
      </w:pPr>
      <w:hyperlink w:anchor="seccion_53">
        <w:r>
          <w:rPr>
            <w:sz w:val="19"/>
          </w:rPr>
          <w:t>6.1 Validación del dataset original y procesado</w:t>
        </w:r>
      </w:hyperlink>
      <w:r>
        <w:rPr>
          <w:sz w:val="19"/>
        </w:rPr>
        <w:tab/>
        <w:t>22</w:t>
      </w:r>
    </w:p>
    <w:p>
      <w:pPr>
        <w:tabs>
          <w:tab w:pos="8929" w:val="right" w:leader="dot"/>
        </w:tabs>
        <w:spacing w:after="40" w:line="240" w:lineRule="auto"/>
        <w:ind w:left="198"/>
      </w:pPr>
      <w:hyperlink w:anchor="seccion_54">
        <w:r>
          <w:rPr>
            <w:sz w:val="19"/>
          </w:rPr>
          <w:t>6.2 Registro de ejecuciones</w:t>
        </w:r>
      </w:hyperlink>
      <w:r>
        <w:rPr>
          <w:sz w:val="19"/>
        </w:rPr>
        <w:tab/>
        <w:t>22</w:t>
      </w:r>
    </w:p>
    <w:p>
      <w:pPr>
        <w:tabs>
          <w:tab w:pos="8929" w:val="right" w:leader="dot"/>
        </w:tabs>
        <w:spacing w:after="40" w:line="240" w:lineRule="auto"/>
        <w:ind w:left="198"/>
      </w:pPr>
      <w:hyperlink w:anchor="seccion_55">
        <w:r>
          <w:rPr>
            <w:sz w:val="19"/>
          </w:rPr>
          <w:t>6.3 Tabla consolidada de resultados</w:t>
        </w:r>
      </w:hyperlink>
      <w:r>
        <w:rPr>
          <w:sz w:val="19"/>
        </w:rPr>
        <w:tab/>
        <w:t>23</w:t>
      </w:r>
    </w:p>
    <w:p>
      <w:pPr>
        <w:tabs>
          <w:tab w:pos="8929" w:val="right" w:leader="dot"/>
        </w:tabs>
        <w:spacing w:after="40" w:line="240" w:lineRule="auto"/>
        <w:ind w:left="198"/>
      </w:pPr>
      <w:hyperlink w:anchor="seccion_56">
        <w:r>
          <w:rPr>
            <w:sz w:val="19"/>
          </w:rPr>
          <w:t>6.4 Visualizaciones y dashboards</w:t>
        </w:r>
      </w:hyperlink>
      <w:r>
        <w:rPr>
          <w:sz w:val="19"/>
        </w:rPr>
        <w:tab/>
        <w:t>25</w:t>
      </w:r>
    </w:p>
    <w:p>
      <w:pPr>
        <w:tabs>
          <w:tab w:pos="8929" w:val="right" w:leader="dot"/>
        </w:tabs>
        <w:spacing w:after="40" w:line="240" w:lineRule="auto"/>
        <w:ind w:left="198"/>
      </w:pPr>
      <w:hyperlink w:anchor="seccion_57">
        <w:r>
          <w:rPr>
            <w:sz w:val="19"/>
          </w:rPr>
          <w:t>6.5 Análisis e interpretación técnica</w:t>
        </w:r>
      </w:hyperlink>
      <w:r>
        <w:rPr>
          <w:sz w:val="19"/>
        </w:rPr>
        <w:tab/>
        <w:t>25</w:t>
      </w:r>
    </w:p>
    <w:p>
      <w:pPr>
        <w:tabs>
          <w:tab w:pos="8929" w:val="right" w:leader="dot"/>
        </w:tabs>
        <w:spacing w:after="40" w:line="240" w:lineRule="auto"/>
        <w:ind w:left="198"/>
      </w:pPr>
      <w:hyperlink w:anchor="seccion_58">
        <w:r>
          <w:rPr>
            <w:sz w:val="19"/>
          </w:rPr>
          <w:t>6.6 Verificación de funcionalidad y completitud</w:t>
        </w:r>
      </w:hyperlink>
      <w:r>
        <w:rPr>
          <w:sz w:val="19"/>
        </w:rPr>
        <w:tab/>
        <w:t>26</w:t>
      </w:r>
    </w:p>
    <w:p>
      <w:pPr>
        <w:tabs>
          <w:tab w:pos="9128" w:val="right" w:leader="dot"/>
        </w:tabs>
        <w:spacing w:after="40" w:line="240" w:lineRule="auto"/>
        <w:ind w:left="0"/>
      </w:pPr>
      <w:hyperlink w:anchor="seccion_59">
        <w:r>
          <w:rPr>
            <w:sz w:val="19"/>
            <w:b/>
          </w:rPr>
          <w:t>CAPÍTULO VII: CONCLUSIONES TÉCNICAS Y RECOMENDACIONES</w:t>
        </w:r>
      </w:hyperlink>
      <w:r>
        <w:rPr>
          <w:sz w:val="19"/>
        </w:rPr>
        <w:tab/>
        <w:t>27</w:t>
      </w:r>
    </w:p>
    <w:p>
      <w:pPr>
        <w:tabs>
          <w:tab w:pos="8929" w:val="right" w:leader="dot"/>
        </w:tabs>
        <w:spacing w:after="40" w:line="240" w:lineRule="auto"/>
        <w:ind w:left="198"/>
      </w:pPr>
      <w:hyperlink w:anchor="seccion_60">
        <w:r>
          <w:rPr>
            <w:sz w:val="19"/>
          </w:rPr>
          <w:t>7.1 Matriz objetivo-resultado-conclusión-recomendación</w:t>
        </w:r>
      </w:hyperlink>
      <w:r>
        <w:rPr>
          <w:sz w:val="19"/>
        </w:rPr>
        <w:tab/>
        <w:t>27</w:t>
      </w:r>
    </w:p>
    <w:p>
      <w:pPr>
        <w:tabs>
          <w:tab w:pos="8929" w:val="right" w:leader="dot"/>
        </w:tabs>
        <w:spacing w:after="40" w:line="240" w:lineRule="auto"/>
        <w:ind w:left="198"/>
      </w:pPr>
      <w:hyperlink w:anchor="seccion_61">
        <w:r>
          <w:rPr>
            <w:sz w:val="19"/>
          </w:rPr>
          <w:t>7.2 Conclusiones técnicas</w:t>
        </w:r>
      </w:hyperlink>
      <w:r>
        <w:rPr>
          <w:sz w:val="19"/>
        </w:rPr>
        <w:tab/>
        <w:t>27</w:t>
      </w:r>
    </w:p>
    <w:p>
      <w:pPr>
        <w:tabs>
          <w:tab w:pos="8929" w:val="right" w:leader="dot"/>
        </w:tabs>
        <w:spacing w:after="40" w:line="240" w:lineRule="auto"/>
        <w:ind w:left="198"/>
      </w:pPr>
      <w:hyperlink w:anchor="seccion_62">
        <w:r>
          <w:rPr>
            <w:sz w:val="19"/>
          </w:rPr>
          <w:t>7.3 Recomendaciones</w:t>
        </w:r>
      </w:hyperlink>
      <w:r>
        <w:rPr>
          <w:sz w:val="19"/>
        </w:rPr>
        <w:tab/>
        <w:t>27</w:t>
      </w:r>
    </w:p>
    <w:p>
      <w:pPr>
        <w:tabs>
          <w:tab w:pos="9128" w:val="right" w:leader="dot"/>
        </w:tabs>
        <w:spacing w:after="40" w:line="240" w:lineRule="auto"/>
        <w:ind w:left="0"/>
      </w:pPr>
      <w:hyperlink w:anchor="seccion_63">
        <w:r>
          <w:rPr>
            <w:sz w:val="19"/>
            <w:b/>
          </w:rPr>
          <w:t>CAPÍTULO VIII: RESPONSABILIDAD ÉTICA Y PROFESIONAL</w:t>
        </w:r>
      </w:hyperlink>
      <w:r>
        <w:rPr>
          <w:sz w:val="19"/>
        </w:rPr>
        <w:tab/>
        <w:t>28</w:t>
      </w:r>
    </w:p>
    <w:p>
      <w:pPr>
        <w:tabs>
          <w:tab w:pos="8929" w:val="right" w:leader="dot"/>
        </w:tabs>
        <w:spacing w:after="40" w:line="240" w:lineRule="auto"/>
        <w:ind w:left="198"/>
      </w:pPr>
      <w:hyperlink w:anchor="seccion_64">
        <w:r>
          <w:rPr>
            <w:sz w:val="19"/>
          </w:rPr>
          <w:t>8.1 Tratamiento ético, legal y seguro de los datos</w:t>
        </w:r>
      </w:hyperlink>
      <w:r>
        <w:rPr>
          <w:sz w:val="19"/>
        </w:rPr>
        <w:tab/>
        <w:t>28</w:t>
      </w:r>
    </w:p>
    <w:p>
      <w:pPr>
        <w:tabs>
          <w:tab w:pos="8929" w:val="right" w:leader="dot"/>
        </w:tabs>
        <w:spacing w:after="40" w:line="240" w:lineRule="auto"/>
        <w:ind w:left="198"/>
      </w:pPr>
      <w:hyperlink w:anchor="seccion_65">
        <w:r>
          <w:rPr>
            <w:sz w:val="19"/>
          </w:rPr>
          <w:t>8.2 Impactos de las soluciones</w:t>
        </w:r>
      </w:hyperlink>
      <w:r>
        <w:rPr>
          <w:sz w:val="19"/>
        </w:rPr>
        <w:tab/>
        <w:t>28</w:t>
      </w:r>
    </w:p>
    <w:p>
      <w:pPr>
        <w:tabs>
          <w:tab w:pos="8929" w:val="right" w:leader="dot"/>
        </w:tabs>
        <w:spacing w:after="40" w:line="240" w:lineRule="auto"/>
        <w:ind w:left="198"/>
      </w:pPr>
      <w:hyperlink w:anchor="seccion_66">
        <w:r>
          <w:rPr>
            <w:sz w:val="19"/>
          </w:rPr>
          <w:t>8.3 Compromiso profesional</w:t>
        </w:r>
      </w:hyperlink>
      <w:r>
        <w:rPr>
          <w:sz w:val="19"/>
        </w:rPr>
        <w:tab/>
        <w:t>28</w:t>
      </w:r>
    </w:p>
    <w:p>
      <w:pPr>
        <w:tabs>
          <w:tab w:pos="9128" w:val="right" w:leader="dot"/>
        </w:tabs>
        <w:spacing w:after="40" w:line="240" w:lineRule="auto"/>
        <w:ind w:left="0"/>
      </w:pPr>
      <w:hyperlink w:anchor="seccion_67">
        <w:r>
          <w:rPr>
            <w:sz w:val="19"/>
            <w:b/>
          </w:rPr>
          <w:t>REFERENCIAS BIBLIOGRÁFICAS</w:t>
        </w:r>
      </w:hyperlink>
      <w:r>
        <w:rPr>
          <w:sz w:val="19"/>
        </w:rPr>
        <w:tab/>
        <w:t>29</w:t>
      </w:r>
    </w:p>
    <w:p>
      <w:pPr>
        <w:tabs>
          <w:tab w:pos="9128" w:val="right" w:leader="dot"/>
        </w:tabs>
        <w:spacing w:after="40" w:line="240" w:lineRule="auto"/>
        <w:ind w:left="0"/>
      </w:pPr>
      <w:hyperlink w:anchor="seccion_68">
        <w:r>
          <w:rPr>
            <w:sz w:val="19"/>
            <w:b/>
          </w:rPr>
          <w:t>ANEXOS Y MANIFIESTO DE EVIDENCIAS</w:t>
        </w:r>
      </w:hyperlink>
      <w:r>
        <w:rPr>
          <w:sz w:val="19"/>
        </w:rPr>
        <w:tab/>
        <w:t>30</w:t>
      </w:r>
    </w:p>
    <w:p>
      <w:bookmarkStart w:id="2" w:name="seccion_2"/>
      <w:pPr>
        <w:pStyle w:val="Heading2"/>
      </w:pPr>
      <w:r>
        <w:t>ÍNDICE DE FIGURAS</w:t>
      </w:r>
      <w:bookmarkEnd w:id="2"/>
    </w:p>
    <w:p>
      <w:pPr>
        <w:tabs>
          <w:tab w:pos="9184" w:val="right" w:leader="dot"/>
        </w:tabs>
        <w:spacing w:line="240" w:lineRule="auto" w:after="60"/>
      </w:pPr>
      <w:r>
        <w:rPr>
          <w:sz w:val="18"/>
        </w:rPr>
        <w:t>Figura 1. Arquitectura de la solución BI</w:t>
        <w:tab/>
        <w:t>10</w:t>
        <w:br/>
        <w:t>Figura 2. Modelo físico del Data Mart en SQL Server</w:t>
        <w:tab/>
        <w:t>12</w:t>
        <w:br/>
        <w:t>Figura 3. Relaciones activas del modelo en Power BI</w:t>
        <w:tab/>
        <w:t>14</w:t>
        <w:br/>
        <w:t>Figura 4. Conciliación e igualdad de dos cargas del trimestre</w:t>
        <w:tab/>
        <w:t>23</w:t>
        <w:br/>
        <w:t>Figura 5. Dashboard de rendimiento del personal, julio–septiembre de 2026</w:t>
        <w:tab/>
        <w:t>25</w:t>
      </w:r>
    </w:p>
    <w:p>
      <w:bookmarkStart w:id="3" w:name="seccion_3"/>
      <w:pPr>
        <w:pStyle w:val="Heading2"/>
      </w:pPr>
      <w:r>
        <w:t>ÍNDICE DE TABLAS</w:t>
      </w:r>
      <w:bookmarkEnd w:id="3"/>
    </w:p>
    <w:p>
      <w:pPr>
        <w:tabs>
          <w:tab w:pos="9184" w:val="right" w:leader="dot"/>
        </w:tabs>
        <w:spacing w:line="240" w:lineRule="auto" w:after="60"/>
      </w:pPr>
      <w:r>
        <w:rPr>
          <w:sz w:val="18"/>
        </w:rPr>
        <w:t>Tabla 1. Participantes y criterios de aceptación</w:t>
        <w:tab/>
        <w:t>6</w:t>
        <w:br/>
        <w:t>Tabla 2. Tecnologías y función en la solución</w:t>
        <w:tab/>
        <w:t>7</w:t>
        <w:br/>
        <w:t>Tabla 3. Requerimientos de la solución BI</w:t>
        <w:tab/>
        <w:t>9</w:t>
        <w:br/>
        <w:t>Tabla 4. Alternativas consideradas</w:t>
        <w:tab/>
        <w:t>9</w:t>
        <w:br/>
        <w:t>Tabla 5. Definición de indicadores principales</w:t>
        <w:tab/>
        <w:t>10</w:t>
        <w:br/>
        <w:t>Tabla 6. Conjuntos de datos utilizados</w:t>
        <w:tab/>
        <w:t>16</w:t>
        <w:br/>
        <w:t>Tabla 7. Métricas de validación</w:t>
        <w:tab/>
        <w:t>16</w:t>
        <w:br/>
        <w:t>Tabla 8. Escenarios de validación BI</w:t>
        <w:tab/>
        <w:t>17</w:t>
        <w:br/>
        <w:t>Tabla 9. Organización del repositorio</w:t>
        <w:tab/>
        <w:t>19</w:t>
        <w:br/>
        <w:t>Tabla 10. Pruebas y estado de verificación</w:t>
        <w:tab/>
        <w:t>20</w:t>
        <w:br/>
        <w:t>Tabla 11. Mejoras trazables en el repositorio</w:t>
        <w:tab/>
        <w:t>21</w:t>
        <w:br/>
        <w:t>Tabla 12. Conciliación por mes</w:t>
        <w:tab/>
        <w:t>22</w:t>
        <w:br/>
        <w:t>Tabla 13. Ejecuciones respaldadas por la captura de bitácora</w:t>
        <w:tab/>
        <w:t>22</w:t>
        <w:br/>
        <w:t>Tabla 14. Resultados de los escenarios BI</w:t>
        <w:tab/>
        <w:t>23</w:t>
        <w:br/>
        <w:t>Tabla 15. Indicadores globales del trimestre</w:t>
        <w:tab/>
        <w:t>23</w:t>
        <w:br/>
        <w:t>Tabla 16. Comparación de trabajadores en el trimestre</w:t>
        <w:tab/>
        <w:t>24</w:t>
        <w:br/>
        <w:t>Tabla 17. Ejemplo mensual de bono con el IEP del trimestre</w:t>
        <w:tab/>
        <w:t>25</w:t>
        <w:br/>
        <w:t>Tabla 18. Estado de los productos de esta entrega</w:t>
        <w:tab/>
        <w:t>26</w:t>
        <w:br/>
        <w:t>Tabla 19. Relación entre objetivos y resultados</w:t>
        <w:tab/>
        <w:t>27</w:t>
      </w:r>
    </w:p>
    <w:p>
      <w:bookmarkStart w:id="4" w:name="seccion_4"/>
      <w:pPr>
        <w:pStyle w:val="Heading2"/>
      </w:pPr>
      <w:r>
        <w:t>ÍNDICE DE ANEXOS</w:t>
      </w:r>
      <w:bookmarkEnd w:id="4"/>
    </w:p>
    <w:p>
      <w:pPr>
        <w:tabs>
          <w:tab w:pos="9184" w:val="right" w:leader="dot"/>
        </w:tabs>
        <w:spacing w:line="240" w:lineRule="auto" w:after="60"/>
      </w:pPr>
      <w:r>
        <w:rPr>
          <w:sz w:val="18"/>
        </w:rPr>
        <w:t>Anexo A. Requisitos y criterios de aceptación</w:t>
        <w:tab/>
        <w:t>31</w:t>
        <w:br/>
        <w:t>Anexo B. Diccionario del Data Mart</w:t>
        <w:tab/>
        <w:t>31</w:t>
        <w:br/>
        <w:t>Anexo C. Ficha del conjunto de datos</w:t>
        <w:tab/>
        <w:t>33</w:t>
        <w:br/>
        <w:t>Anexo D. Scripts y medidas de la entrega</w:t>
        <w:tab/>
        <w:t>34</w:t>
        <w:br/>
        <w:t>Anexo E. Capturas y resultados</w:t>
        <w:tab/>
        <w:t>34</w:t>
        <w:br/>
        <w:t>Anexo F. Instalación, operación y demostración</w:t>
        <w:tab/>
        <w:t>34</w:t>
        <w:br/>
        <w:t>Anexo G. Mejoras y aceptación</w:t>
        <w:tab/>
        <w:t>34</w:t>
        <w:br/>
        <w:t>Anexo H. Historial y aportes</w:t>
        <w:tab/>
        <w:t>34</w:t>
        <w:br/>
        <w:t>Anexo I. Declaración de uso responsable de IA</w:t>
        <w:tab/>
        <w:t>35</w:t>
      </w:r>
    </w:p>
    <w:p>
      <w:bookmarkStart w:id="5" w:name="seccion_5"/>
      <w:pPr>
        <w:pStyle w:val="Heading1"/>
      </w:pPr>
      <w:r>
        <w:t>RESUMEN</w:t>
      </w:r>
      <w:bookmarkEnd w:id="5"/>
    </w:p>
    <w:p>
      <w:r>
        <w:rPr>
          <w:b w:val="0"/>
        </w:rPr>
        <w:t>A&amp;SG S.A.C. necesita reunir los registros de asistencia y tareas para evaluar el rendimiento del personal sin depender de consultas analíticas sobre su sistema operativo. Como antecedente, la aplicación de la empresa utiliza Streamlit y MySQL alojado en Clever Cloud. Esta entrega desarrolla una solución de Inteligencia de Negocios en SQL Server y Power BI, con alcance académico y sin modificar la aplicación original. El proyecto adapta el esquema transaccional y conserva el padrón de diez trabajadores. Para comprobar el flujo completo, genera movimientos simulados de julio a septiembre de 2026: 582 asistencias y 582 tareas. Un procedimiento almacenado en T-SQL extrae los datos de A&amp;SG_OLTP, normaliza textos, valida referencias y fechas, registra rechazos y carga A&amp;SG_DataMart. El destino contiene cuatro dimensiones y una tabla de hechos; las vistas y medidas DAX calculan puntualidad, cumplimiento, entregas fuera de plazo y efectividad ponderada. La validación documentada conserva los conteos mensuales entre origen y destino, obtiene 1.164 filas de hechos y comprueba que dos cargas del mismo intervalo mantienen las mismas medidas. El dashboard presenta un IEP global de 75,12 puntos, con 96,00 para el caso de mayor efectividad y 22,00 para el menor. Una segunda página muestra un bono referencial, sin representar una planilla real. Los resultados demuestran consistencia y repetibilidad para el conjunto utilizado. No acreditan mejoras de latencia, reducción de CPU ni desempeño real de los trabajadores. La solución ofrece una base reproducible para analizar indicadores y explicar el proceso ETL.</w:t>
      </w:r>
    </w:p>
    <w:p>
      <w:r>
        <w:rPr>
          <w:b w:val="0"/>
        </w:rPr>
        <w:t>Palabras clave: inteligencia de negocios; ETL; modelo estrella; SQL Server; Power BI.</w:t>
      </w:r>
    </w:p>
    <w:p>
      <w:bookmarkStart w:id="6" w:name="seccion_6"/>
      <w:pPr>
        <w:pStyle w:val="Heading2"/>
      </w:pPr>
      <w:r>
        <w:t>ABSTRACT</w:t>
      </w:r>
      <w:bookmarkEnd w:id="6"/>
    </w:p>
    <w:p>
      <w:r>
        <w:rPr>
          <w:b w:val="0"/>
        </w:rPr>
        <w:t>A&amp;SG S.A.C. needs to combine attendance and task records to assess staff performance without relying on analytical queries against its operational system. The company application uses Streamlit and MySQL hosted on Clever Cloud. This submission develops an academic Business Intelligence solution with SQL Server and Power BI, without changing the original application. The project adapts the transactional schema and preserves the roster of ten workers. To verify the complete workflow, it generates simulated records for July through September 2026: 582 attendance entries and 582 tasks. A T-SQL stored procedure extracts data from A&amp;SG_OLTP, normalizes text, validates references and dates, logs rejected records, and loads A&amp;SG_DataMart. The target includes four dimensions and one fact table. SQL views and DAX measures calculate punctuality, task completion without observations, late-delivery indicators, and a weighted effectiveness score. The documented validation preserves monthly source and target counts, produces 1,164 fact rows, and confirms that two loads of the same period retain the same measures. The dashboard shows an overall effectiveness score of 75.12 points, with 96.00 for the highest-scoring case and 22.00 for the lowest. A second page illustrates a hypothetical bonus rather than actual payroll. The results demonstrate consistency and repeatability for this dataset. They do not establish latency improvements, reduced CPU use, or actual worker performance. The solution provides a reproducible basis for analyzing indicators and explaining the ETL process.</w:t>
      </w:r>
    </w:p>
    <w:p>
      <w:r>
        <w:rPr>
          <w:b w:val="0"/>
        </w:rPr>
        <w:t>Keywords: business intelligence; ETL; star schema; SQL Server; Power BI.</w:t>
      </w:r>
    </w:p>
    <w:p>
      <w:bookmarkStart w:id="7" w:name="seccion_7"/>
      <w:pPr>
        <w:pStyle w:val="Heading1"/>
      </w:pPr>
      <w:r>
        <w:t>CAPÍTULO I: CONTEXTO, PROBLEMA Y OBJETIVOS</w:t>
      </w:r>
      <w:bookmarkEnd w:id="7"/>
    </w:p>
    <w:p>
      <w:bookmarkStart w:id="8" w:name="seccion_8"/>
      <w:pPr>
        <w:pStyle w:val="Heading2"/>
      </w:pPr>
      <w:r>
        <w:t>1.1 Contexto y necesidad empresarial</w:t>
      </w:r>
      <w:bookmarkEnd w:id="8"/>
    </w:p>
    <w:p>
      <w:r>
        <w:rPr>
          <w:b w:val="0"/>
        </w:rPr>
        <w:t>A&amp;SG S.A.C. realiza actividades vinculadas con arquitectura, ingeniería, asesoría legal y sistemas. Según el contexto proporcionado por el equipo, el registro de asistencias y la asignación de tareas se centralizaron en una aplicación desarrollada con Streamlit y una base de datos MySQL alojada en Clever Cloud. Esta información describe el sistema anterior; el repositorio de la entrega contiene la solución de BI desarrollada en SQL Server.</w:t>
      </w:r>
    </w:p>
    <w:p>
      <w:r>
        <w:rPr>
          <w:b w:val="0"/>
        </w:rPr>
        <w:t>La necesidad consiste en relacionar las marcaciones y las tareas de cada trabajador para consultar resultados por mes y comparar su efectividad. Los registros operativos, por sí solos, no presentan una lectura consolidada de puntualidad, cumplimiento y entregas fuera de plazo. Un Data Mart permite organizar estos datos y utilizarlos desde Power BI.</w:t>
      </w:r>
    </w:p>
    <w:p>
      <w:r>
        <w:rPr>
          <w:b w:val="0"/>
        </w:rPr>
        <w:t>Para el desarrollo académico se adaptó el esquema a A&amp;SG_OLTP, se conservó el padrón original y se generaron movimientos simulados. No se presenta este conjunto histórico como una extracción íntegra de la operación real ni como una medición del rendimiento laboral de la empresa. E-01 y E-03.</w:t>
      </w:r>
    </w:p>
    <w:p>
      <w:bookmarkStart w:id="9" w:name="seccion_9"/>
      <w:pPr>
        <w:pStyle w:val="Heading2"/>
      </w:pPr>
      <w:r>
        <w:t>1.2 Formulación del problema de ingeniería</w:t>
      </w:r>
      <w:bookmarkEnd w:id="9"/>
    </w:p>
    <w:p>
      <w:r>
        <w:rPr>
          <w:b w:val="0"/>
        </w:rPr>
        <w:t>¿Cómo organizar y transformar, mediante SQL Server, los registros de asistencia y tareas de diez trabajadores para obtener indicadores consistentes y reportes interactivos de rendimiento en Power BI?</w:t>
      </w:r>
    </w:p>
    <w:p>
      <w:r>
        <w:rPr>
          <w:b w:val="0"/>
        </w:rPr>
        <w:t>La causa principal abordada es la separación de los registros operativos y la falta de una estructura analítica común. Esto dificulta calcular los mismos indicadores por trabajador y período sin repetir cruces y reglas en cada consulta. La solución desarrolla un flujo verificable desde el OLTP local hasta el Data Mart. No se midieron en esta entrega la saturación de Clever Cloud ni sus tiempos de respuesta.</w:t>
      </w:r>
    </w:p>
    <w:p>
      <w:bookmarkStart w:id="10" w:name="seccion_10"/>
      <w:pPr>
        <w:pStyle w:val="Heading2"/>
      </w:pPr>
      <w:r>
        <w:t>1.3 Objetivos</w:t>
      </w:r>
      <w:bookmarkEnd w:id="10"/>
    </w:p>
    <w:p>
      <w:r>
        <w:rPr>
          <w:b/>
        </w:rPr>
        <w:t>Objetivo general</w:t>
      </w:r>
    </w:p>
    <w:p>
      <w:r>
        <w:rPr>
          <w:b w:val="0"/>
        </w:rPr>
        <w:t>Desarrollar una solución de Inteligencia de Negocios para A&amp;SG S.A.C., utilizando SQL Server y Power BI, que integre asistencias y tareas mediante un procedimiento ETL y permita analizar el rendimiento del personal con indicadores verificables.</w:t>
      </w:r>
    </w:p>
    <w:p>
      <w:r>
        <w:rPr>
          <w:b/>
        </w:rPr>
        <w:t>Objetivos específicos</w:t>
      </w:r>
    </w:p>
    <w:p>
      <w:pPr>
        <w:ind w:left="312" w:hanging="312"/>
      </w:pPr>
      <w:r>
        <w:rPr>
          <w:b w:val="0"/>
        </w:rPr>
        <w:t>1. OE-01. Preparar el origen transaccional en SQL Server y construir un modelo estrella con dimensiones de trabajador, tiempo, proyecto y administrador.</w:t>
      </w:r>
    </w:p>
    <w:p>
      <w:pPr>
        <w:ind w:left="312" w:hanging="312"/>
      </w:pPr>
      <w:r>
        <w:rPr>
          <w:b w:val="0"/>
        </w:rPr>
        <w:t>2. OE-02. Implementar un procedimiento almacenado que extraiga, limpie, valide y cargue los registros del período, con bitácora y control de rechazos.</w:t>
      </w:r>
    </w:p>
    <w:p>
      <w:pPr>
        <w:ind w:left="312" w:hanging="312"/>
      </w:pPr>
      <w:r>
        <w:rPr>
          <w:b w:val="0"/>
        </w:rPr>
        <w:t>3. OE-03. Calcular TPA, ICT, TDT e IEP y presentarlos en reportes de Power BI con filtros de mes y trabajador.</w:t>
      </w:r>
    </w:p>
    <w:p>
      <w:pPr>
        <w:ind w:left="312" w:hanging="312"/>
      </w:pPr>
      <w:r>
        <w:rPr>
          <w:b w:val="0"/>
        </w:rPr>
        <w:t>4. OE-04. Verificar la conciliación de cantidades, la ausencia de duplicados en la combinación de claves y la repetibilidad de la carga.</w:t>
      </w:r>
    </w:p>
    <w:p>
      <w:pPr>
        <w:ind w:left="312" w:hanging="312"/>
      </w:pPr>
      <w:r>
        <w:rPr>
          <w:b w:val="0"/>
        </w:rPr>
        <w:t>5. OE-05. Mostrar un ejemplo de bonificación referencial para los casos de mayor y menor IEP, con supuestos monetarios explícitos.</w:t>
      </w:r>
    </w:p>
    <w:p>
      <w:r>
        <w:rPr>
          <w:b w:val="0"/>
        </w:rPr>
        <w:t>Objetivo de Big Data para una etapa posterior: evaluar el tratamiento de registros semiestructurados del sistema. Este objetivo no se implementa ni se evalúa en la entrega T2; no se seleccionan tecnologías ni se presentan resultados de esa etapa.</w:t>
      </w:r>
    </w:p>
    <w:p>
      <w:bookmarkStart w:id="11" w:name="seccion_11"/>
      <w:pPr>
        <w:pStyle w:val="Heading2"/>
      </w:pPr>
      <w:r>
        <w:t>1.4 Alcance, restricciones y supuestos</w:t>
      </w:r>
      <w:bookmarkEnd w:id="11"/>
    </w:p>
    <w:p>
      <w:r>
        <w:rPr>
          <w:b w:val="0"/>
        </w:rPr>
        <w:t>El alcance comprende la preparación de A&amp;SG_OLTP, el Data Mart, el procedimiento ETL, las vistas SQL, las medidas DAX, las validaciones y el reporte de dos páginas. El intervalo es del 1 de julio al 30 de septiembre de 2026. Se consideran diez trabajadores y un administrador independiente del conteo de trabajadores.</w:t>
      </w:r>
    </w:p>
    <w:p>
      <w:r>
        <w:rPr>
          <w:b w:val="0"/>
        </w:rPr>
        <w:t>Los movimientos se generan con reglas académicas: siete trabajadores asisten de lunes a viernes y tres practicantes —identificadores 2, 9 y 11— los lunes, miércoles y viernes. No se descuentan feriados ni licencias. Los porcentajes de rendimiento forman parte del diseño del conjunto simulado.</w:t>
      </w:r>
    </w:p>
    <w:p>
      <w:r>
        <w:rPr>
          <w:b w:val="0"/>
        </w:rPr>
        <w:t>La carga se inicia manualmente en SSMS; al ejecutarse, el procedimiento realiza las etapas del ETL. No existe extracción remota automática desde Clever Cloud, actualización programada a medianoche, cubo de Analysis Services ni despliegue acreditado en producción. Se utilizan SQL Server Developer y Power BI Desktop para desarrollo y demostración académica.</w:t>
      </w:r>
    </w:p>
    <w:p>
      <w:r>
        <w:rPr>
          <w:b w:val="0"/>
        </w:rPr>
        <w:t>Los datos no incluyen aprobación formal de tareas, sueldos reales, complejidad de entregables ni un historial contractual. La remuneración se limita a un ejemplo de bono. Quedan fuera el cálculo legal de planillas, descuentos, aportes y la solución Big Data.</w:t>
      </w:r>
    </w:p>
    <w:p>
      <w:bookmarkStart w:id="12" w:name="seccion_12"/>
      <w:pPr>
        <w:pStyle w:val="Heading2"/>
      </w:pPr>
      <w:r>
        <w:t>1.5 Stakeholders y criterios de éxito</w:t>
      </w:r>
      <w:bookmarkEnd w:id="12"/>
    </w:p>
    <w:p>
      <w:pPr>
        <w:pStyle w:val="Caption"/>
      </w:pPr>
      <w:r>
        <w:rPr>
          <w:b w:val="0"/>
        </w:rPr>
        <w:t>Tabla 1. Participantes y criterios de aceptación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644"/>
            <w:shd w:fill="E7EFF5"/>
            <w:vAlign w:val="center"/>
          </w:tcPr>
          <w:p>
            <w:pPr>
              <w:spacing w:after="60" w:before="40" w:line="240" w:lineRule="auto"/>
            </w:pPr>
            <w:r>
              <w:rPr>
                <w:rFonts w:ascii="Arial" w:hAnsi="Arial"/>
                <w:b/>
                <w:sz w:val="18"/>
              </w:rPr>
              <w:t>PARTICIPANTE</w:t>
            </w:r>
          </w:p>
        </w:tc>
        <w:tc>
          <w:tcPr>
            <w:tcW w:type="dxa" w:w="2041"/>
            <w:shd w:fill="E7EFF5"/>
            <w:vAlign w:val="center"/>
          </w:tcPr>
          <w:p>
            <w:pPr>
              <w:spacing w:after="60" w:before="40" w:line="240" w:lineRule="auto"/>
            </w:pPr>
            <w:r>
              <w:rPr>
                <w:rFonts w:ascii="Arial" w:hAnsi="Arial"/>
                <w:b/>
                <w:sz w:val="18"/>
              </w:rPr>
              <w:t>NECESIDAD</w:t>
            </w:r>
          </w:p>
        </w:tc>
        <w:tc>
          <w:tcPr>
            <w:tcW w:type="dxa" w:w="4025"/>
            <w:shd w:fill="E7EFF5"/>
            <w:vAlign w:val="center"/>
          </w:tcPr>
          <w:p>
            <w:pPr>
              <w:spacing w:after="60" w:before="40" w:line="240" w:lineRule="auto"/>
            </w:pPr>
            <w:r>
              <w:rPr>
                <w:rFonts w:ascii="Arial" w:hAnsi="Arial"/>
                <w:b/>
                <w:sz w:val="18"/>
              </w:rPr>
              <w:t>CRITERIO VERIFICABLE</w:t>
            </w:r>
          </w:p>
        </w:tc>
        <w:tc>
          <w:tcPr>
            <w:tcW w:type="dxa" w:w="1587"/>
            <w:shd w:fill="E7EFF5"/>
            <w:vAlign w:val="center"/>
          </w:tcPr>
          <w:p>
            <w:pPr>
              <w:spacing w:after="60" w:before="40" w:line="240" w:lineRule="auto"/>
            </w:pPr>
            <w:r>
              <w:rPr>
                <w:rFonts w:ascii="Arial" w:hAnsi="Arial"/>
                <w:b/>
                <w:sz w:val="18"/>
              </w:rPr>
              <w:t>EVIDENCIA</w:t>
            </w:r>
          </w:p>
        </w:tc>
      </w:tr>
      <w:tr>
        <w:trPr>
          <w:cantSplit/>
        </w:trPr>
        <w:tc>
          <w:tcPr>
            <w:tcW w:type="dxa" w:w="1644"/>
            <w:vAlign w:val="center"/>
          </w:tcPr>
          <w:p>
            <w:pPr>
              <w:spacing w:after="60" w:before="40" w:line="240" w:lineRule="auto"/>
            </w:pPr>
            <w:r>
              <w:rPr>
                <w:rFonts w:ascii="Arial" w:hAnsi="Arial"/>
                <w:sz w:val="18"/>
              </w:rPr>
              <w:t>Gerencia</w:t>
            </w:r>
          </w:p>
        </w:tc>
        <w:tc>
          <w:tcPr>
            <w:tcW w:type="dxa" w:w="2041"/>
            <w:vAlign w:val="center"/>
          </w:tcPr>
          <w:p>
            <w:pPr>
              <w:spacing w:after="60" w:before="40" w:line="240" w:lineRule="auto"/>
            </w:pPr>
            <w:r>
              <w:rPr>
                <w:rFonts w:ascii="Arial" w:hAnsi="Arial"/>
                <w:sz w:val="18"/>
              </w:rPr>
              <w:t>Consultar el rendimiento del personal.</w:t>
            </w:r>
          </w:p>
        </w:tc>
        <w:tc>
          <w:tcPr>
            <w:tcW w:type="dxa" w:w="4025"/>
            <w:vAlign w:val="center"/>
          </w:tcPr>
          <w:p>
            <w:pPr>
              <w:spacing w:after="60" w:before="40" w:line="240" w:lineRule="auto"/>
            </w:pPr>
            <w:r>
              <w:rPr>
                <w:rFonts w:ascii="Arial" w:hAnsi="Arial"/>
                <w:sz w:val="18"/>
              </w:rPr>
              <w:t>Ver diez trabajadores y consultar TPA, ICT, TDT e IEP por mes y trabajador.</w:t>
            </w:r>
          </w:p>
        </w:tc>
        <w:tc>
          <w:tcPr>
            <w:tcW w:type="dxa" w:w="1587"/>
            <w:vAlign w:val="center"/>
          </w:tcPr>
          <w:p>
            <w:pPr>
              <w:spacing w:after="60" w:before="40" w:line="240" w:lineRule="auto"/>
            </w:pPr>
            <w:r>
              <w:rPr>
                <w:rFonts w:ascii="Arial" w:hAnsi="Arial"/>
                <w:sz w:val="18"/>
              </w:rPr>
              <w:t>E-07 / E-13</w:t>
            </w:r>
          </w:p>
        </w:tc>
      </w:tr>
      <w:tr>
        <w:trPr>
          <w:cantSplit/>
        </w:trPr>
        <w:tc>
          <w:tcPr>
            <w:tcW w:type="dxa" w:w="1644"/>
            <w:vAlign w:val="center"/>
          </w:tcPr>
          <w:p>
            <w:pPr>
              <w:spacing w:after="60" w:before="40" w:line="240" w:lineRule="auto"/>
            </w:pPr>
            <w:r>
              <w:rPr>
                <w:rFonts w:ascii="Arial" w:hAnsi="Arial"/>
                <w:sz w:val="18"/>
              </w:rPr>
              <w:t>Gestión administrativa</w:t>
            </w:r>
          </w:p>
        </w:tc>
        <w:tc>
          <w:tcPr>
            <w:tcW w:type="dxa" w:w="2041"/>
            <w:vAlign w:val="center"/>
          </w:tcPr>
          <w:p>
            <w:pPr>
              <w:spacing w:after="60" w:before="40" w:line="240" w:lineRule="auto"/>
            </w:pPr>
            <w:r>
              <w:rPr>
                <w:rFonts w:ascii="Arial" w:hAnsi="Arial"/>
                <w:sz w:val="18"/>
              </w:rPr>
              <w:t>Revisar asistencia y entender el ejemplo de bono.</w:t>
            </w:r>
          </w:p>
        </w:tc>
        <w:tc>
          <w:tcPr>
            <w:tcW w:type="dxa" w:w="4025"/>
            <w:vAlign w:val="center"/>
          </w:tcPr>
          <w:p>
            <w:pPr>
              <w:spacing w:after="60" w:before="40" w:line="240" w:lineRule="auto"/>
            </w:pPr>
            <w:r>
              <w:rPr>
                <w:rFonts w:ascii="Arial" w:hAnsi="Arial"/>
                <w:sz w:val="18"/>
              </w:rPr>
              <w:t>Conservar 582 asistencias en el trimestre y mostrar los supuestos del bono sin presentarlo como planilla real.</w:t>
            </w:r>
          </w:p>
        </w:tc>
        <w:tc>
          <w:tcPr>
            <w:tcW w:type="dxa" w:w="1587"/>
            <w:vAlign w:val="center"/>
          </w:tcPr>
          <w:p>
            <w:pPr>
              <w:spacing w:after="60" w:before="40" w:line="240" w:lineRule="auto"/>
            </w:pPr>
            <w:r>
              <w:rPr>
                <w:rFonts w:ascii="Arial" w:hAnsi="Arial"/>
                <w:sz w:val="18"/>
              </w:rPr>
              <w:t>E-02 / E-10 / E-13</w:t>
            </w:r>
          </w:p>
        </w:tc>
      </w:tr>
      <w:tr>
        <w:trPr>
          <w:cantSplit/>
        </w:trPr>
        <w:tc>
          <w:tcPr>
            <w:tcW w:type="dxa" w:w="1644"/>
            <w:vAlign w:val="center"/>
          </w:tcPr>
          <w:p>
            <w:pPr>
              <w:spacing w:after="60" w:before="40" w:line="240" w:lineRule="auto"/>
            </w:pPr>
            <w:r>
              <w:rPr>
                <w:rFonts w:ascii="Arial" w:hAnsi="Arial"/>
                <w:sz w:val="18"/>
              </w:rPr>
              <w:t>Jefaturas técnicas</w:t>
            </w:r>
          </w:p>
        </w:tc>
        <w:tc>
          <w:tcPr>
            <w:tcW w:type="dxa" w:w="2041"/>
            <w:vAlign w:val="center"/>
          </w:tcPr>
          <w:p>
            <w:pPr>
              <w:spacing w:after="60" w:before="40" w:line="240" w:lineRule="auto"/>
            </w:pPr>
            <w:r>
              <w:rPr>
                <w:rFonts w:ascii="Arial" w:hAnsi="Arial"/>
                <w:sz w:val="18"/>
              </w:rPr>
              <w:t>Comparar cumplimiento y entregas fuera de plazo.</w:t>
            </w:r>
          </w:p>
        </w:tc>
        <w:tc>
          <w:tcPr>
            <w:tcW w:type="dxa" w:w="4025"/>
            <w:vAlign w:val="center"/>
          </w:tcPr>
          <w:p>
            <w:pPr>
              <w:spacing w:after="60" w:before="40" w:line="240" w:lineRule="auto"/>
            </w:pPr>
            <w:r>
              <w:rPr>
                <w:rFonts w:ascii="Arial" w:hAnsi="Arial"/>
                <w:sz w:val="18"/>
              </w:rPr>
              <w:t>Conservar 582 tareas y aplicar las mismas fórmulas en SQL y DAX.</w:t>
            </w:r>
          </w:p>
        </w:tc>
        <w:tc>
          <w:tcPr>
            <w:tcW w:type="dxa" w:w="1587"/>
            <w:vAlign w:val="center"/>
          </w:tcPr>
          <w:p>
            <w:pPr>
              <w:spacing w:after="60" w:before="40" w:line="240" w:lineRule="auto"/>
            </w:pPr>
            <w:r>
              <w:rPr>
                <w:rFonts w:ascii="Arial" w:hAnsi="Arial"/>
                <w:sz w:val="18"/>
              </w:rPr>
              <w:t>E-06 / E-07</w:t>
            </w:r>
          </w:p>
        </w:tc>
      </w:tr>
      <w:tr>
        <w:trPr>
          <w:cantSplit/>
        </w:trPr>
        <w:tc>
          <w:tcPr>
            <w:tcW w:type="dxa" w:w="1644"/>
            <w:vAlign w:val="center"/>
          </w:tcPr>
          <w:p>
            <w:pPr>
              <w:spacing w:after="60" w:before="40" w:line="240" w:lineRule="auto"/>
            </w:pPr>
            <w:r>
              <w:rPr>
                <w:rFonts w:ascii="Arial" w:hAnsi="Arial"/>
                <w:sz w:val="18"/>
              </w:rPr>
              <w:t>Área de sistemas</w:t>
            </w:r>
          </w:p>
        </w:tc>
        <w:tc>
          <w:tcPr>
            <w:tcW w:type="dxa" w:w="2041"/>
            <w:vAlign w:val="center"/>
          </w:tcPr>
          <w:p>
            <w:pPr>
              <w:spacing w:after="60" w:before="40" w:line="240" w:lineRule="auto"/>
            </w:pPr>
            <w:r>
              <w:rPr>
                <w:rFonts w:ascii="Arial" w:hAnsi="Arial"/>
                <w:sz w:val="18"/>
              </w:rPr>
              <w:t>Reproducir la carga y detectar incidencias.</w:t>
            </w:r>
          </w:p>
        </w:tc>
        <w:tc>
          <w:tcPr>
            <w:tcW w:type="dxa" w:w="4025"/>
            <w:vAlign w:val="center"/>
          </w:tcPr>
          <w:p>
            <w:pPr>
              <w:spacing w:after="60" w:before="40" w:line="240" w:lineRule="auto"/>
            </w:pPr>
            <w:r>
              <w:rPr>
                <w:rFonts w:ascii="Arial" w:hAnsi="Arial"/>
                <w:sz w:val="18"/>
              </w:rPr>
              <w:t>Completar el ETL, registrar cero rechazos en el conjunto inicial y repetir el intervalo sin duplicar medidas.</w:t>
            </w:r>
          </w:p>
        </w:tc>
        <w:tc>
          <w:tcPr>
            <w:tcW w:type="dxa" w:w="1587"/>
            <w:vAlign w:val="center"/>
          </w:tcPr>
          <w:p>
            <w:pPr>
              <w:spacing w:after="60" w:before="40" w:line="240" w:lineRule="auto"/>
            </w:pPr>
            <w:r>
              <w:rPr>
                <w:rFonts w:ascii="Arial" w:hAnsi="Arial"/>
                <w:sz w:val="18"/>
              </w:rPr>
              <w:t>E-04 / E-09 / E-10</w:t>
            </w:r>
          </w:p>
        </w:tc>
      </w:tr>
    </w:tbl>
    <w:p>
      <w:r>
        <w:rPr>
          <w:b w:val="0"/>
        </w:rPr>
      </w:r>
    </w:p>
    <w:p>
      <w:bookmarkStart w:id="13" w:name="seccion_13"/>
      <w:pPr>
        <w:pStyle w:val="Heading2"/>
      </w:pPr>
      <w:r>
        <w:t>1.6 Fuentes, gobierno y ética de los datos</w:t>
      </w:r>
      <w:bookmarkEnd w:id="13"/>
    </w:p>
    <w:p>
      <w:r>
        <w:rPr>
          <w:b w:val="0"/>
        </w:rPr>
        <w:t>El archivo original permite identificar el esquema transaccional y el padrón. La versión pública del generador conserva los identificadores, nombres, cargos y códigos necesarios para relacionar los registros. No copia correos, teléfonos ni PIN reales; las credenciales de acceso del conjunto académico están deshabilitadas. Los nombres permanecen visibles, por lo que no corresponde afirmar que existe anonimización completa.</w:t>
      </w:r>
    </w:p>
    <w:p>
      <w:r>
        <w:rPr>
          <w:b w:val="0"/>
        </w:rPr>
        <w:t>Las dimensiones se actualizan con UPDATE e INSERT y no guardan versiones históricas de los atributos. La tabla bitacora_etl identifica cada ejecución y rechazos_etl conserva los movimientos no aceptados. Los resultados publicados deben vincularse con el período, los scripts y la evidencia correspondiente. Antes de difundir información identificable fuera del uso académico, el equipo debe revisar los permisos aplicables.</w:t>
      </w:r>
    </w:p>
    <w:p>
      <w:bookmarkStart w:id="14" w:name="seccion_14"/>
      <w:pPr>
        <w:pStyle w:val="Heading1"/>
      </w:pPr>
      <w:r>
        <w:t>CAPÍTULO II: ANTECEDENTES Y FUNDAMENTOS</w:t>
      </w:r>
      <w:bookmarkEnd w:id="14"/>
    </w:p>
    <w:p>
      <w:bookmarkStart w:id="15" w:name="seccion_15"/>
      <w:pPr>
        <w:pStyle w:val="Heading2"/>
      </w:pPr>
      <w:r>
        <w:t>2.1 Antecedentes</w:t>
      </w:r>
      <w:bookmarkEnd w:id="15"/>
    </w:p>
    <w:p>
      <w:r>
        <w:rPr>
          <w:b w:val="0"/>
        </w:rPr>
        <w:t>El antecedente operativo es la aplicación de la empresa con Streamlit y MySQL. La propuesta aprovecha su estructura de empleados, trabajadores, asistencias, tareas y proyectos, sin reconstruir la aplicación web. El aporte de esta entrega se concentra en preparar y consultar una estructura analítica separada.</w:t>
      </w:r>
    </w:p>
    <w:p>
      <w:r>
        <w:rPr>
          <w:b w:val="0"/>
        </w:rPr>
        <w:t>Como antecedente metodológico, Kimball y Ross (2013) describen el diseño dimensional a partir de procesos de negocio, granularidad, dimensiones y hechos. Este enfoque se aplica al análisis de asistencia y tareas: se define qué representa una fila y se conservan cantidades que puedan sumarse antes de calcular las tasas.</w:t>
      </w:r>
    </w:p>
    <w:p>
      <w:r>
        <w:rPr>
          <w:b w:val="0"/>
        </w:rPr>
        <w:t>La guía de esquema en estrella de Microsoft (s. f.-b) explica la separación entre dimensiones para filtrar y agrupar, y hechos para resumir medidas. Su aplicación en Power BI orienta las cuatro relaciones de uno a varios usadas en el proyecto. La documentación de procedimientos almacenados de Microsoft (s. f.-a) respalda la encapsulación del proceso ETL con parámetros de fecha y manejo de errores.</w:t>
      </w:r>
    </w:p>
    <w:p>
      <w:r>
        <w:rPr>
          <w:b w:val="0"/>
        </w:rPr>
        <w:t>Estos antecedentes sustentan el diseño adoptado. No se trasladan al proyecto porcentajes de mejora de otras empresas ni se consideran demostradas reducciones de tiempo que no se hayan medido con el conjunto de esta entrega.</w:t>
      </w:r>
    </w:p>
    <w:p>
      <w:bookmarkStart w:id="16" w:name="seccion_16"/>
      <w:pPr>
        <w:pStyle w:val="Heading2"/>
      </w:pPr>
      <w:r>
        <w:t>2.2 Fundamentos de Inteligencia de Negocios</w:t>
      </w:r>
      <w:bookmarkEnd w:id="16"/>
    </w:p>
    <w:p>
      <w:r>
        <w:rPr>
          <w:b w:val="0"/>
        </w:rPr>
        <w:t>BI reúne datos operativos, reglas de transformación y herramientas de consulta para apoyar decisiones. En este proyecto, la integración relaciona la persona con sus marcaciones y tareas, y permite consultar resultados por período.</w:t>
      </w:r>
    </w:p>
    <w:p>
      <w:r>
        <w:rPr>
          <w:b w:val="0"/>
        </w:rPr>
        <w:t>ETL significa extraer, transformar y cargar. El procedimiento lee el OLTP en SQL Server, normaliza textos, valida estados, referencias y fechas, y carga los registros aceptados en el Data Mart. La adaptación inicial desde MySQL es un antecedente distinto de este ETL local.</w:t>
      </w:r>
    </w:p>
    <w:p>
      <w:r>
        <w:rPr>
          <w:b w:val="0"/>
        </w:rPr>
        <w:t>El modelo estrella utiliza una tabla de hechos central y dimensiones. Se implementan dim_trabajador, dim_tiempo, dim_proyecto y dim_administrador. fac_rendimiento_kpis almacena cantidades aditivas; las vistas y DAX calculan tasas para el contexto seleccionado. El proyecto utiliza un Data Mart por su alcance acotado al rendimiento del personal, siguiendo los principios de Kimball y Ross (2013).</w:t>
      </w:r>
    </w:p>
    <w:p>
      <w:r>
        <w:rPr>
          <w:b w:val="0"/>
        </w:rPr>
        <w:t>El análisis OLAP se realiza mediante filtros y agregaciones del modelo dimensional en Power BI. Se puede pasar del trimestre a un mes y del conjunto al trabajador. No se implementa un cubo independiente de SQL Server Analysis Services. Las relaciones activas permiten que las dimensiones filtren la tabla de hechos (Microsoft, s. f.-b).</w:t>
      </w:r>
    </w:p>
    <w:p>
      <w:r>
        <w:rPr>
          <w:b w:val="0"/>
        </w:rPr>
        <w:t>Los KPI son medidas definidas para una pregunta de negocio. TPA mide puntualidad; ICT, completadas sin observaciones; TDT, la marca de entrega fuera de plazo; e IEP combina los tres. Un dashboard reúne esas medidas con tarjetas, filtros y barras para facilitar su interpretación.</w:t>
      </w:r>
    </w:p>
    <w:p>
      <w:bookmarkStart w:id="17" w:name="seccion_17"/>
      <w:pPr>
        <w:pStyle w:val="Heading2"/>
      </w:pPr>
      <w:r>
        <w:t>2.3 Fundamentos de Big Data</w:t>
      </w:r>
      <w:bookmarkEnd w:id="17"/>
    </w:p>
    <w:p>
      <w:r>
        <w:rPr>
          <w:b w:val="0"/>
        </w:rPr>
        <w:t>Apartado reservado para la siguiente etapa. No desarrollado en la entrega T2.</w:t>
      </w:r>
    </w:p>
    <w:p>
      <w:bookmarkStart w:id="18" w:name="seccion_18"/>
      <w:pPr>
        <w:pStyle w:val="Heading2"/>
      </w:pPr>
      <w:r>
        <w:t>2.4 Tecnologías, estándares y trabajos relacionados</w:t>
      </w:r>
      <w:bookmarkEnd w:id="18"/>
    </w:p>
    <w:p>
      <w:r>
        <w:rPr>
          <w:b w:val="0"/>
        </w:rPr>
        <w:t>La elección se basa en el alcance del curso, la posibilidad de ejecutar el proceso desde SSMS y la conexión de Power BI con SQL Server. La tabla diferencia los antecedentes de las herramientas implementadas.</w:t>
      </w:r>
    </w:p>
    <w:p>
      <w:pPr>
        <w:pStyle w:val="Caption"/>
      </w:pPr>
      <w:r>
        <w:rPr>
          <w:b w:val="0"/>
        </w:rPr>
        <w:t>Tabla 2. Tecnologías y función en la solución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098"/>
            <w:shd w:fill="E7EFF5"/>
            <w:vAlign w:val="center"/>
          </w:tcPr>
          <w:p>
            <w:pPr>
              <w:spacing w:after="60" w:before="40" w:line="240" w:lineRule="auto"/>
            </w:pPr>
            <w:r>
              <w:rPr>
                <w:rFonts w:ascii="Arial" w:hAnsi="Arial"/>
                <w:b/>
                <w:sz w:val="18"/>
              </w:rPr>
              <w:t>TECNOLOGÍA</w:t>
            </w:r>
          </w:p>
        </w:tc>
        <w:tc>
          <w:tcPr>
            <w:tcW w:type="dxa" w:w="2608"/>
            <w:shd w:fill="E7EFF5"/>
            <w:vAlign w:val="center"/>
          </w:tcPr>
          <w:p>
            <w:pPr>
              <w:spacing w:after="60" w:before="40" w:line="240" w:lineRule="auto"/>
            </w:pPr>
            <w:r>
              <w:rPr>
                <w:rFonts w:ascii="Arial" w:hAnsi="Arial"/>
                <w:b/>
                <w:sz w:val="18"/>
              </w:rPr>
              <w:t>FUNCIÓN</w:t>
            </w:r>
          </w:p>
        </w:tc>
        <w:tc>
          <w:tcPr>
            <w:tcW w:type="dxa" w:w="4592"/>
            <w:shd w:fill="E7EFF5"/>
            <w:vAlign w:val="center"/>
          </w:tcPr>
          <w:p>
            <w:pPr>
              <w:spacing w:after="60" w:before="40" w:line="240" w:lineRule="auto"/>
            </w:pPr>
            <w:r>
              <w:rPr>
                <w:rFonts w:ascii="Arial" w:hAnsi="Arial"/>
                <w:b/>
                <w:sz w:val="18"/>
              </w:rPr>
              <w:t>USO EN ESTA ENTREGA</w:t>
            </w:r>
          </w:p>
        </w:tc>
      </w:tr>
      <w:tr>
        <w:trPr>
          <w:cantSplit/>
        </w:trPr>
        <w:tc>
          <w:tcPr>
            <w:tcW w:type="dxa" w:w="2098"/>
            <w:vAlign w:val="center"/>
          </w:tcPr>
          <w:p>
            <w:pPr>
              <w:spacing w:after="60" w:before="40" w:line="240" w:lineRule="auto"/>
            </w:pPr>
            <w:r>
              <w:rPr>
                <w:rFonts w:ascii="Arial" w:hAnsi="Arial"/>
                <w:sz w:val="18"/>
              </w:rPr>
              <w:t>MySQL y Clever Cloud</w:t>
            </w:r>
          </w:p>
        </w:tc>
        <w:tc>
          <w:tcPr>
            <w:tcW w:type="dxa" w:w="2608"/>
            <w:vAlign w:val="center"/>
          </w:tcPr>
          <w:p>
            <w:pPr>
              <w:spacing w:after="60" w:before="40" w:line="240" w:lineRule="auto"/>
            </w:pPr>
            <w:r>
              <w:rPr>
                <w:rFonts w:ascii="Arial" w:hAnsi="Arial"/>
                <w:sz w:val="18"/>
              </w:rPr>
              <w:t>Sistema transaccional de origen.</w:t>
            </w:r>
          </w:p>
        </w:tc>
        <w:tc>
          <w:tcPr>
            <w:tcW w:type="dxa" w:w="4592"/>
            <w:vAlign w:val="center"/>
          </w:tcPr>
          <w:p>
            <w:pPr>
              <w:spacing w:after="60" w:before="40" w:line="240" w:lineRule="auto"/>
            </w:pPr>
            <w:r>
              <w:rPr>
                <w:rFonts w:ascii="Arial" w:hAnsi="Arial"/>
                <w:sz w:val="18"/>
              </w:rPr>
              <w:t>Antecedente del esquema; no se consulta la nube durante la demostración del ETL.</w:t>
            </w:r>
          </w:p>
        </w:tc>
      </w:tr>
      <w:tr>
        <w:trPr>
          <w:cantSplit/>
        </w:trPr>
        <w:tc>
          <w:tcPr>
            <w:tcW w:type="dxa" w:w="2098"/>
            <w:vAlign w:val="center"/>
          </w:tcPr>
          <w:p>
            <w:pPr>
              <w:spacing w:after="60" w:before="40" w:line="240" w:lineRule="auto"/>
            </w:pPr>
            <w:r>
              <w:rPr>
                <w:rFonts w:ascii="Arial" w:hAnsi="Arial"/>
                <w:sz w:val="18"/>
              </w:rPr>
              <w:t>Streamlit</w:t>
            </w:r>
          </w:p>
        </w:tc>
        <w:tc>
          <w:tcPr>
            <w:tcW w:type="dxa" w:w="2608"/>
            <w:vAlign w:val="center"/>
          </w:tcPr>
          <w:p>
            <w:pPr>
              <w:spacing w:after="60" w:before="40" w:line="240" w:lineRule="auto"/>
            </w:pPr>
            <w:r>
              <w:rPr>
                <w:rFonts w:ascii="Arial" w:hAnsi="Arial"/>
                <w:sz w:val="18"/>
              </w:rPr>
              <w:t>Aplicación operativa original.</w:t>
            </w:r>
          </w:p>
        </w:tc>
        <w:tc>
          <w:tcPr>
            <w:tcW w:type="dxa" w:w="4592"/>
            <w:vAlign w:val="center"/>
          </w:tcPr>
          <w:p>
            <w:pPr>
              <w:spacing w:after="60" w:before="40" w:line="240" w:lineRule="auto"/>
            </w:pPr>
            <w:r>
              <w:rPr>
                <w:rFonts w:ascii="Arial" w:hAnsi="Arial"/>
                <w:sz w:val="18"/>
              </w:rPr>
              <w:t>Contexto del negocio; no se modifica ni se entrega una nueva interfaz.</w:t>
            </w:r>
          </w:p>
        </w:tc>
      </w:tr>
      <w:tr>
        <w:trPr>
          <w:cantSplit/>
        </w:trPr>
        <w:tc>
          <w:tcPr>
            <w:tcW w:type="dxa" w:w="2098"/>
            <w:vAlign w:val="center"/>
          </w:tcPr>
          <w:p>
            <w:pPr>
              <w:spacing w:after="60" w:before="40" w:line="240" w:lineRule="auto"/>
            </w:pPr>
            <w:r>
              <w:rPr>
                <w:rFonts w:ascii="Arial" w:hAnsi="Arial"/>
                <w:sz w:val="18"/>
              </w:rPr>
              <w:t>SQL Server Developer</w:t>
            </w:r>
          </w:p>
        </w:tc>
        <w:tc>
          <w:tcPr>
            <w:tcW w:type="dxa" w:w="2608"/>
            <w:vAlign w:val="center"/>
          </w:tcPr>
          <w:p>
            <w:pPr>
              <w:spacing w:after="60" w:before="40" w:line="240" w:lineRule="auto"/>
            </w:pPr>
            <w:r>
              <w:rPr>
                <w:rFonts w:ascii="Arial" w:hAnsi="Arial"/>
                <w:sz w:val="18"/>
              </w:rPr>
              <w:t>Motor del OLTP académico y del Data Mart.</w:t>
            </w:r>
          </w:p>
        </w:tc>
        <w:tc>
          <w:tcPr>
            <w:tcW w:type="dxa" w:w="4592"/>
            <w:vAlign w:val="center"/>
          </w:tcPr>
          <w:p>
            <w:pPr>
              <w:spacing w:after="60" w:before="40" w:line="240" w:lineRule="auto"/>
            </w:pPr>
            <w:r>
              <w:rPr>
                <w:rFonts w:ascii="Arial" w:hAnsi="Arial"/>
                <w:sz w:val="18"/>
              </w:rPr>
              <w:t>A&amp;SG_OLTP y A&amp;SG_DataMart en la misma instancia de desarrollo.</w:t>
            </w:r>
          </w:p>
        </w:tc>
      </w:tr>
      <w:tr>
        <w:trPr>
          <w:cantSplit/>
        </w:trPr>
        <w:tc>
          <w:tcPr>
            <w:tcW w:type="dxa" w:w="2098"/>
            <w:vAlign w:val="center"/>
          </w:tcPr>
          <w:p>
            <w:pPr>
              <w:spacing w:after="60" w:before="40" w:line="240" w:lineRule="auto"/>
            </w:pPr>
            <w:r>
              <w:rPr>
                <w:rFonts w:ascii="Arial" w:hAnsi="Arial"/>
                <w:sz w:val="18"/>
              </w:rPr>
              <w:t>T-SQL</w:t>
            </w:r>
          </w:p>
        </w:tc>
        <w:tc>
          <w:tcPr>
            <w:tcW w:type="dxa" w:w="2608"/>
            <w:vAlign w:val="center"/>
          </w:tcPr>
          <w:p>
            <w:pPr>
              <w:spacing w:after="60" w:before="40" w:line="240" w:lineRule="auto"/>
            </w:pPr>
            <w:r>
              <w:rPr>
                <w:rFonts w:ascii="Arial" w:hAnsi="Arial"/>
                <w:sz w:val="18"/>
              </w:rPr>
              <w:t>Estructura, generación, transformación y consulta.</w:t>
            </w:r>
          </w:p>
        </w:tc>
        <w:tc>
          <w:tcPr>
            <w:tcW w:type="dxa" w:w="4592"/>
            <w:vAlign w:val="center"/>
          </w:tcPr>
          <w:p>
            <w:pPr>
              <w:spacing w:after="60" w:before="40" w:line="240" w:lineRule="auto"/>
            </w:pPr>
            <w:r>
              <w:rPr>
                <w:rFonts w:ascii="Arial" w:hAnsi="Arial"/>
                <w:sz w:val="18"/>
              </w:rPr>
              <w:t>Scripts, procedimiento almacenado, vistas y validación.</w:t>
            </w:r>
          </w:p>
        </w:tc>
      </w:tr>
      <w:tr>
        <w:trPr>
          <w:cantSplit/>
        </w:trPr>
        <w:tc>
          <w:tcPr>
            <w:tcW w:type="dxa" w:w="2098"/>
            <w:vAlign w:val="center"/>
          </w:tcPr>
          <w:p>
            <w:pPr>
              <w:spacing w:after="60" w:before="40" w:line="240" w:lineRule="auto"/>
            </w:pPr>
            <w:r>
              <w:rPr>
                <w:rFonts w:ascii="Arial" w:hAnsi="Arial"/>
                <w:sz w:val="18"/>
              </w:rPr>
              <w:t>SQL Server Management Studio</w:t>
            </w:r>
          </w:p>
        </w:tc>
        <w:tc>
          <w:tcPr>
            <w:tcW w:type="dxa" w:w="2608"/>
            <w:vAlign w:val="center"/>
          </w:tcPr>
          <w:p>
            <w:pPr>
              <w:spacing w:after="60" w:before="40" w:line="240" w:lineRule="auto"/>
            </w:pPr>
            <w:r>
              <w:rPr>
                <w:rFonts w:ascii="Arial" w:hAnsi="Arial"/>
                <w:sz w:val="18"/>
              </w:rPr>
              <w:t>Ejecución y revisión de SQL.</w:t>
            </w:r>
          </w:p>
        </w:tc>
        <w:tc>
          <w:tcPr>
            <w:tcW w:type="dxa" w:w="4592"/>
            <w:vAlign w:val="center"/>
          </w:tcPr>
          <w:p>
            <w:pPr>
              <w:spacing w:after="60" w:before="40" w:line="240" w:lineRule="auto"/>
            </w:pPr>
            <w:r>
              <w:rPr>
                <w:rFonts w:ascii="Arial" w:hAnsi="Arial"/>
                <w:sz w:val="18"/>
              </w:rPr>
              <w:t>Crear las bases, ejecutar el ETL, revisar resultados y diagrama físico.</w:t>
            </w:r>
          </w:p>
        </w:tc>
      </w:tr>
      <w:tr>
        <w:trPr>
          <w:cantSplit/>
        </w:trPr>
        <w:tc>
          <w:tcPr>
            <w:tcW w:type="dxa" w:w="2098"/>
            <w:vAlign w:val="center"/>
          </w:tcPr>
          <w:p>
            <w:pPr>
              <w:spacing w:after="60" w:before="40" w:line="240" w:lineRule="auto"/>
            </w:pPr>
            <w:r>
              <w:rPr>
                <w:rFonts w:ascii="Arial" w:hAnsi="Arial"/>
                <w:sz w:val="18"/>
              </w:rPr>
              <w:t>Power BI Desktop y DAX</w:t>
            </w:r>
          </w:p>
        </w:tc>
        <w:tc>
          <w:tcPr>
            <w:tcW w:type="dxa" w:w="2608"/>
            <w:vAlign w:val="center"/>
          </w:tcPr>
          <w:p>
            <w:pPr>
              <w:spacing w:after="60" w:before="40" w:line="240" w:lineRule="auto"/>
            </w:pPr>
            <w:r>
              <w:rPr>
                <w:rFonts w:ascii="Arial" w:hAnsi="Arial"/>
                <w:sz w:val="18"/>
              </w:rPr>
              <w:t>Modelo de consulta y visualización.</w:t>
            </w:r>
          </w:p>
        </w:tc>
        <w:tc>
          <w:tcPr>
            <w:tcW w:type="dxa" w:w="4592"/>
            <w:vAlign w:val="center"/>
          </w:tcPr>
          <w:p>
            <w:pPr>
              <w:spacing w:after="60" w:before="40" w:line="240" w:lineRule="auto"/>
            </w:pPr>
            <w:r>
              <w:rPr>
                <w:rFonts w:ascii="Arial" w:hAnsi="Arial"/>
                <w:sz w:val="18"/>
              </w:rPr>
              <w:t>Dos páginas, medidas, filtros, ranking y bono referencial.</w:t>
            </w:r>
          </w:p>
        </w:tc>
      </w:tr>
      <w:tr>
        <w:trPr>
          <w:cantSplit/>
        </w:trPr>
        <w:tc>
          <w:tcPr>
            <w:tcW w:type="dxa" w:w="2098"/>
            <w:vAlign w:val="center"/>
          </w:tcPr>
          <w:p>
            <w:pPr>
              <w:spacing w:after="60" w:before="40" w:line="240" w:lineRule="auto"/>
            </w:pPr>
            <w:r>
              <w:rPr>
                <w:rFonts w:ascii="Arial" w:hAnsi="Arial"/>
                <w:sz w:val="18"/>
              </w:rPr>
              <w:t>GitHub</w:t>
            </w:r>
          </w:p>
        </w:tc>
        <w:tc>
          <w:tcPr>
            <w:tcW w:type="dxa" w:w="2608"/>
            <w:vAlign w:val="center"/>
          </w:tcPr>
          <w:p>
            <w:pPr>
              <w:spacing w:after="60" w:before="40" w:line="240" w:lineRule="auto"/>
            </w:pPr>
            <w:r>
              <w:rPr>
                <w:rFonts w:ascii="Arial" w:hAnsi="Arial"/>
                <w:sz w:val="18"/>
              </w:rPr>
              <w:t>Versionado y evidencias.</w:t>
            </w:r>
          </w:p>
        </w:tc>
        <w:tc>
          <w:tcPr>
            <w:tcW w:type="dxa" w:w="4592"/>
            <w:vAlign w:val="center"/>
          </w:tcPr>
          <w:p>
            <w:pPr>
              <w:spacing w:after="60" w:before="40" w:line="240" w:lineRule="auto"/>
            </w:pPr>
            <w:r>
              <w:rPr>
                <w:rFonts w:ascii="Arial" w:hAnsi="Arial"/>
                <w:sz w:val="18"/>
              </w:rPr>
              <w:t>Código, archivos PBIX, documentación, capturas e historial.</w:t>
            </w:r>
          </w:p>
        </w:tc>
      </w:tr>
    </w:tbl>
    <w:p>
      <w:r>
        <w:rPr>
          <w:b w:val="0"/>
        </w:rPr>
      </w:r>
    </w:p>
    <w:p>
      <w:r>
        <w:rPr>
          <w:b w:val="0"/>
        </w:rPr>
        <w:t>Se mantienen claves primarias y foráneas, unicidad de la combinación de claves de hechos y nombres consistentes de objetos. La tabla de hechos conserva cantidades y las tasas se recalculan al cambiar el período, para evitar promedios simples de porcentajes. Las definiciones se contrastan con el esquema en estrella de Microsoft (s. f.-b) y los scripts de E-06.</w:t>
      </w:r>
    </w:p>
    <w:p>
      <w:bookmarkStart w:id="19" w:name="seccion_19"/>
      <w:pPr>
        <w:pStyle w:val="Heading1"/>
      </w:pPr>
      <w:r>
        <w:t>CAPÍTULO III: DISEÑO DE INGENIERÍA DE LAS SOLUCIONES</w:t>
      </w:r>
      <w:bookmarkEnd w:id="19"/>
    </w:p>
    <w:p>
      <w:bookmarkStart w:id="20" w:name="seccion_20"/>
      <w:pPr>
        <w:pStyle w:val="Heading2"/>
      </w:pPr>
      <w:r>
        <w:t>3.1 Requerimientos funcionales y no funcionales</w:t>
      </w:r>
      <w:bookmarkEnd w:id="20"/>
    </w:p>
    <w:p>
      <w:pPr>
        <w:pStyle w:val="Caption"/>
      </w:pPr>
      <w:r>
        <w:rPr>
          <w:b w:val="0"/>
        </w:rPr>
        <w:t>Tabla 3. Requerimientos de la solución BI</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020"/>
            <w:shd w:fill="E7EFF5"/>
            <w:vAlign w:val="center"/>
          </w:tcPr>
          <w:p>
            <w:pPr>
              <w:spacing w:after="60" w:before="40" w:line="240" w:lineRule="auto"/>
            </w:pPr>
            <w:r>
              <w:rPr>
                <w:rFonts w:ascii="Arial" w:hAnsi="Arial"/>
                <w:b/>
                <w:sz w:val="18"/>
              </w:rPr>
              <w:t>ID</w:t>
            </w:r>
          </w:p>
        </w:tc>
        <w:tc>
          <w:tcPr>
            <w:tcW w:type="dxa" w:w="3855"/>
            <w:shd w:fill="E7EFF5"/>
            <w:vAlign w:val="center"/>
          </w:tcPr>
          <w:p>
            <w:pPr>
              <w:spacing w:after="60" w:before="40" w:line="240" w:lineRule="auto"/>
            </w:pPr>
            <w:r>
              <w:rPr>
                <w:rFonts w:ascii="Arial" w:hAnsi="Arial"/>
                <w:b/>
                <w:sz w:val="18"/>
              </w:rPr>
              <w:t>REQUERIMIENTO</w:t>
            </w:r>
          </w:p>
        </w:tc>
        <w:tc>
          <w:tcPr>
            <w:tcW w:type="dxa" w:w="4422"/>
            <w:shd w:fill="E7EFF5"/>
            <w:vAlign w:val="center"/>
          </w:tcPr>
          <w:p>
            <w:pPr>
              <w:spacing w:after="60" w:before="40" w:line="240" w:lineRule="auto"/>
            </w:pPr>
            <w:r>
              <w:rPr>
                <w:rFonts w:ascii="Arial" w:hAnsi="Arial"/>
                <w:b/>
                <w:sz w:val="18"/>
              </w:rPr>
              <w:t>ACEPTACIÓN</w:t>
            </w:r>
          </w:p>
        </w:tc>
      </w:tr>
      <w:tr>
        <w:trPr>
          <w:cantSplit/>
        </w:trPr>
        <w:tc>
          <w:tcPr>
            <w:tcW w:type="dxa" w:w="1020"/>
            <w:vAlign w:val="center"/>
          </w:tcPr>
          <w:p>
            <w:pPr>
              <w:spacing w:after="60" w:before="40" w:line="240" w:lineRule="auto"/>
            </w:pPr>
            <w:r>
              <w:rPr>
                <w:rFonts w:ascii="Arial" w:hAnsi="Arial"/>
                <w:sz w:val="18"/>
              </w:rPr>
              <w:t>RF-01</w:t>
            </w:r>
          </w:p>
        </w:tc>
        <w:tc>
          <w:tcPr>
            <w:tcW w:type="dxa" w:w="3855"/>
            <w:vAlign w:val="center"/>
          </w:tcPr>
          <w:p>
            <w:pPr>
              <w:spacing w:after="60" w:before="40" w:line="240" w:lineRule="auto"/>
            </w:pPr>
            <w:r>
              <w:rPr>
                <w:rFonts w:ascii="Arial" w:hAnsi="Arial"/>
                <w:sz w:val="18"/>
              </w:rPr>
              <w:t>Integrar el padrón y los movimientos del período.</w:t>
            </w:r>
          </w:p>
        </w:tc>
        <w:tc>
          <w:tcPr>
            <w:tcW w:type="dxa" w:w="4422"/>
            <w:vAlign w:val="center"/>
          </w:tcPr>
          <w:p>
            <w:pPr>
              <w:spacing w:after="60" w:before="40" w:line="240" w:lineRule="auto"/>
            </w:pPr>
            <w:r>
              <w:rPr>
                <w:rFonts w:ascii="Arial" w:hAnsi="Arial"/>
                <w:sz w:val="18"/>
              </w:rPr>
              <w:t>Diez trabajadores; 582 asistencias y 582 tareas en el conjunto inicial.</w:t>
            </w:r>
          </w:p>
        </w:tc>
      </w:tr>
      <w:tr>
        <w:trPr>
          <w:cantSplit/>
        </w:trPr>
        <w:tc>
          <w:tcPr>
            <w:tcW w:type="dxa" w:w="1020"/>
            <w:vAlign w:val="center"/>
          </w:tcPr>
          <w:p>
            <w:pPr>
              <w:spacing w:after="60" w:before="40" w:line="240" w:lineRule="auto"/>
            </w:pPr>
            <w:r>
              <w:rPr>
                <w:rFonts w:ascii="Arial" w:hAnsi="Arial"/>
                <w:sz w:val="18"/>
              </w:rPr>
              <w:t>RF-02</w:t>
            </w:r>
          </w:p>
        </w:tc>
        <w:tc>
          <w:tcPr>
            <w:tcW w:type="dxa" w:w="3855"/>
            <w:vAlign w:val="center"/>
          </w:tcPr>
          <w:p>
            <w:pPr>
              <w:spacing w:after="60" w:before="40" w:line="240" w:lineRule="auto"/>
            </w:pPr>
            <w:r>
              <w:rPr>
                <w:rFonts w:ascii="Arial" w:hAnsi="Arial"/>
                <w:sz w:val="18"/>
              </w:rPr>
              <w:t>Ejecutar el ETL mediante procedimiento almacenado.</w:t>
            </w:r>
          </w:p>
        </w:tc>
        <w:tc>
          <w:tcPr>
            <w:tcW w:type="dxa" w:w="4422"/>
            <w:vAlign w:val="center"/>
          </w:tcPr>
          <w:p>
            <w:pPr>
              <w:spacing w:after="60" w:before="40" w:line="240" w:lineRule="auto"/>
            </w:pPr>
            <w:r>
              <w:rPr>
                <w:rFonts w:ascii="Arial" w:hAnsi="Arial"/>
                <w:sz w:val="18"/>
              </w:rPr>
              <w:t>Admitir fechas y registrar extracción, rechazos y carga.</w:t>
            </w:r>
          </w:p>
        </w:tc>
      </w:tr>
      <w:tr>
        <w:trPr>
          <w:cantSplit/>
        </w:trPr>
        <w:tc>
          <w:tcPr>
            <w:tcW w:type="dxa" w:w="1020"/>
            <w:vAlign w:val="center"/>
          </w:tcPr>
          <w:p>
            <w:pPr>
              <w:spacing w:after="60" w:before="40" w:line="240" w:lineRule="auto"/>
            </w:pPr>
            <w:r>
              <w:rPr>
                <w:rFonts w:ascii="Arial" w:hAnsi="Arial"/>
                <w:sz w:val="18"/>
              </w:rPr>
              <w:t>RF-03</w:t>
            </w:r>
          </w:p>
        </w:tc>
        <w:tc>
          <w:tcPr>
            <w:tcW w:type="dxa" w:w="3855"/>
            <w:vAlign w:val="center"/>
          </w:tcPr>
          <w:p>
            <w:pPr>
              <w:spacing w:after="60" w:before="40" w:line="240" w:lineRule="auto"/>
            </w:pPr>
            <w:r>
              <w:rPr>
                <w:rFonts w:ascii="Arial" w:hAnsi="Arial"/>
                <w:sz w:val="18"/>
              </w:rPr>
              <w:t>Calcular los cuatro KPI con reglas comunes.</w:t>
            </w:r>
          </w:p>
        </w:tc>
        <w:tc>
          <w:tcPr>
            <w:tcW w:type="dxa" w:w="4422"/>
            <w:vAlign w:val="center"/>
          </w:tcPr>
          <w:p>
            <w:pPr>
              <w:spacing w:after="60" w:before="40" w:line="240" w:lineRule="auto"/>
            </w:pPr>
            <w:r>
              <w:rPr>
                <w:rFonts w:ascii="Arial" w:hAnsi="Arial"/>
                <w:sz w:val="18"/>
              </w:rPr>
              <w:t>Concordancia de fórmulas entre vistas y medidas DAX.</w:t>
            </w:r>
          </w:p>
        </w:tc>
      </w:tr>
      <w:tr>
        <w:trPr>
          <w:cantSplit/>
        </w:trPr>
        <w:tc>
          <w:tcPr>
            <w:tcW w:type="dxa" w:w="1020"/>
            <w:vAlign w:val="center"/>
          </w:tcPr>
          <w:p>
            <w:pPr>
              <w:spacing w:after="60" w:before="40" w:line="240" w:lineRule="auto"/>
            </w:pPr>
            <w:r>
              <w:rPr>
                <w:rFonts w:ascii="Arial" w:hAnsi="Arial"/>
                <w:sz w:val="18"/>
              </w:rPr>
              <w:t>RF-04</w:t>
            </w:r>
          </w:p>
        </w:tc>
        <w:tc>
          <w:tcPr>
            <w:tcW w:type="dxa" w:w="3855"/>
            <w:vAlign w:val="center"/>
          </w:tcPr>
          <w:p>
            <w:pPr>
              <w:spacing w:after="60" w:before="40" w:line="240" w:lineRule="auto"/>
            </w:pPr>
            <w:r>
              <w:rPr>
                <w:rFonts w:ascii="Arial" w:hAnsi="Arial"/>
                <w:sz w:val="18"/>
              </w:rPr>
              <w:t>Consultar rendimiento y bono en Power BI.</w:t>
            </w:r>
          </w:p>
        </w:tc>
        <w:tc>
          <w:tcPr>
            <w:tcW w:type="dxa" w:w="4422"/>
            <w:vAlign w:val="center"/>
          </w:tcPr>
          <w:p>
            <w:pPr>
              <w:spacing w:after="60" w:before="40" w:line="240" w:lineRule="auto"/>
            </w:pPr>
            <w:r>
              <w:rPr>
                <w:rFonts w:ascii="Arial" w:hAnsi="Arial"/>
                <w:sz w:val="18"/>
              </w:rPr>
              <w:t>Dos páginas con visuales y supuestos de simulación.</w:t>
            </w:r>
          </w:p>
        </w:tc>
      </w:tr>
      <w:tr>
        <w:trPr>
          <w:cantSplit/>
        </w:trPr>
        <w:tc>
          <w:tcPr>
            <w:tcW w:type="dxa" w:w="1020"/>
            <w:vAlign w:val="center"/>
          </w:tcPr>
          <w:p>
            <w:pPr>
              <w:spacing w:after="60" w:before="40" w:line="240" w:lineRule="auto"/>
            </w:pPr>
            <w:r>
              <w:rPr>
                <w:rFonts w:ascii="Arial" w:hAnsi="Arial"/>
                <w:sz w:val="18"/>
              </w:rPr>
              <w:t>RNF-01</w:t>
            </w:r>
          </w:p>
        </w:tc>
        <w:tc>
          <w:tcPr>
            <w:tcW w:type="dxa" w:w="3855"/>
            <w:vAlign w:val="center"/>
          </w:tcPr>
          <w:p>
            <w:pPr>
              <w:spacing w:after="60" w:before="40" w:line="240" w:lineRule="auto"/>
            </w:pPr>
            <w:r>
              <w:rPr>
                <w:rFonts w:ascii="Arial" w:hAnsi="Arial"/>
                <w:sz w:val="18"/>
              </w:rPr>
              <w:t>Mantener integridad y evitar duplicados.</w:t>
            </w:r>
          </w:p>
        </w:tc>
        <w:tc>
          <w:tcPr>
            <w:tcW w:type="dxa" w:w="4422"/>
            <w:vAlign w:val="center"/>
          </w:tcPr>
          <w:p>
            <w:pPr>
              <w:spacing w:after="60" w:before="40" w:line="240" w:lineRule="auto"/>
            </w:pPr>
            <w:r>
              <w:rPr>
                <w:rFonts w:ascii="Arial" w:hAnsi="Arial"/>
                <w:sz w:val="18"/>
              </w:rPr>
              <w:t>Claves foráneas y combinación de claves única.</w:t>
            </w:r>
          </w:p>
        </w:tc>
      </w:tr>
      <w:tr>
        <w:trPr>
          <w:cantSplit/>
        </w:trPr>
        <w:tc>
          <w:tcPr>
            <w:tcW w:type="dxa" w:w="1020"/>
            <w:vAlign w:val="center"/>
          </w:tcPr>
          <w:p>
            <w:pPr>
              <w:spacing w:after="60" w:before="40" w:line="240" w:lineRule="auto"/>
            </w:pPr>
            <w:r>
              <w:rPr>
                <w:rFonts w:ascii="Arial" w:hAnsi="Arial"/>
                <w:sz w:val="18"/>
              </w:rPr>
              <w:t>RNF-02</w:t>
            </w:r>
          </w:p>
        </w:tc>
        <w:tc>
          <w:tcPr>
            <w:tcW w:type="dxa" w:w="3855"/>
            <w:vAlign w:val="center"/>
          </w:tcPr>
          <w:p>
            <w:pPr>
              <w:spacing w:after="60" w:before="40" w:line="240" w:lineRule="auto"/>
            </w:pPr>
            <w:r>
              <w:rPr>
                <w:rFonts w:ascii="Arial" w:hAnsi="Arial"/>
                <w:sz w:val="18"/>
              </w:rPr>
              <w:t>Permitir repetir el período sin acumular medidas.</w:t>
            </w:r>
          </w:p>
        </w:tc>
        <w:tc>
          <w:tcPr>
            <w:tcW w:type="dxa" w:w="4422"/>
            <w:vAlign w:val="center"/>
          </w:tcPr>
          <w:p>
            <w:pPr>
              <w:spacing w:after="60" w:before="40" w:line="240" w:lineRule="auto"/>
            </w:pPr>
            <w:r>
              <w:rPr>
                <w:rFonts w:ascii="Arial" w:hAnsi="Arial"/>
                <w:sz w:val="18"/>
              </w:rPr>
              <w:t>Dos cargas conservan las mismas filas de la vista de hechos.</w:t>
            </w:r>
          </w:p>
        </w:tc>
      </w:tr>
      <w:tr>
        <w:trPr>
          <w:cantSplit/>
        </w:trPr>
        <w:tc>
          <w:tcPr>
            <w:tcW w:type="dxa" w:w="1020"/>
            <w:vAlign w:val="center"/>
          </w:tcPr>
          <w:p>
            <w:pPr>
              <w:spacing w:after="60" w:before="40" w:line="240" w:lineRule="auto"/>
            </w:pPr>
            <w:r>
              <w:rPr>
                <w:rFonts w:ascii="Arial" w:hAnsi="Arial"/>
                <w:sz w:val="18"/>
              </w:rPr>
              <w:t>RNF-03</w:t>
            </w:r>
          </w:p>
        </w:tc>
        <w:tc>
          <w:tcPr>
            <w:tcW w:type="dxa" w:w="3855"/>
            <w:vAlign w:val="center"/>
          </w:tcPr>
          <w:p>
            <w:pPr>
              <w:spacing w:after="60" w:before="40" w:line="240" w:lineRule="auto"/>
            </w:pPr>
            <w:r>
              <w:rPr>
                <w:rFonts w:ascii="Arial" w:hAnsi="Arial"/>
                <w:sz w:val="18"/>
              </w:rPr>
              <w:t>Facilitar la reproducción desde el repositorio.</w:t>
            </w:r>
          </w:p>
        </w:tc>
        <w:tc>
          <w:tcPr>
            <w:tcW w:type="dxa" w:w="4422"/>
            <w:vAlign w:val="center"/>
          </w:tcPr>
          <w:p>
            <w:pPr>
              <w:spacing w:after="60" w:before="40" w:line="240" w:lineRule="auto"/>
            </w:pPr>
            <w:r>
              <w:rPr>
                <w:rFonts w:ascii="Arial" w:hAnsi="Arial"/>
                <w:sz w:val="18"/>
              </w:rPr>
              <w:t>Orden de scripts, parámetros y evidencias disponibles.</w:t>
            </w:r>
          </w:p>
        </w:tc>
      </w:tr>
      <w:tr>
        <w:trPr>
          <w:cantSplit/>
        </w:trPr>
        <w:tc>
          <w:tcPr>
            <w:tcW w:type="dxa" w:w="1020"/>
            <w:vAlign w:val="center"/>
          </w:tcPr>
          <w:p>
            <w:pPr>
              <w:spacing w:after="60" w:before="40" w:line="240" w:lineRule="auto"/>
            </w:pPr>
            <w:r>
              <w:rPr>
                <w:rFonts w:ascii="Arial" w:hAnsi="Arial"/>
                <w:sz w:val="18"/>
              </w:rPr>
              <w:t>RNF-04</w:t>
            </w:r>
          </w:p>
        </w:tc>
        <w:tc>
          <w:tcPr>
            <w:tcW w:type="dxa" w:w="3855"/>
            <w:vAlign w:val="center"/>
          </w:tcPr>
          <w:p>
            <w:pPr>
              <w:spacing w:after="60" w:before="40" w:line="240" w:lineRule="auto"/>
            </w:pPr>
            <w:r>
              <w:rPr>
                <w:rFonts w:ascii="Arial" w:hAnsi="Arial"/>
                <w:sz w:val="18"/>
              </w:rPr>
              <w:t>Limitar la información publicada.</w:t>
            </w:r>
          </w:p>
        </w:tc>
        <w:tc>
          <w:tcPr>
            <w:tcW w:type="dxa" w:w="4422"/>
            <w:vAlign w:val="center"/>
          </w:tcPr>
          <w:p>
            <w:pPr>
              <w:spacing w:after="60" w:before="40" w:line="240" w:lineRule="auto"/>
            </w:pPr>
            <w:r>
              <w:rPr>
                <w:rFonts w:ascii="Arial" w:hAnsi="Arial"/>
                <w:sz w:val="18"/>
              </w:rPr>
              <w:t>Sin PIN reales, correos ni teléfonos en el conjunto público; bono identificado como referencial.</w:t>
            </w:r>
          </w:p>
        </w:tc>
      </w:tr>
    </w:tbl>
    <w:p>
      <w:r>
        <w:rPr>
          <w:b w:val="0"/>
        </w:rPr>
      </w:r>
    </w:p>
    <w:p>
      <w:bookmarkStart w:id="21" w:name="seccion_21"/>
      <w:pPr>
        <w:pStyle w:val="Heading2"/>
      </w:pPr>
      <w:r>
        <w:t>3.2 Alternativas y decisiones de arquitectura</w:t>
      </w:r>
      <w:bookmarkEnd w:id="21"/>
    </w:p>
    <w:p>
      <w:pPr>
        <w:pStyle w:val="Caption"/>
      </w:pPr>
      <w:r>
        <w:rPr>
          <w:b w:val="0"/>
        </w:rPr>
        <w:t>Tabla 4. Alternativas consideradas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268"/>
            <w:shd w:fill="E7EFF5"/>
            <w:vAlign w:val="center"/>
          </w:tcPr>
          <w:p>
            <w:pPr>
              <w:spacing w:after="60" w:before="40" w:line="240" w:lineRule="auto"/>
            </w:pPr>
            <w:r>
              <w:rPr>
                <w:rFonts w:ascii="Arial" w:hAnsi="Arial"/>
                <w:b/>
                <w:sz w:val="18"/>
              </w:rPr>
              <w:t>ALTERNATIVA</w:t>
            </w:r>
          </w:p>
        </w:tc>
        <w:tc>
          <w:tcPr>
            <w:tcW w:type="dxa" w:w="2381"/>
            <w:shd w:fill="E7EFF5"/>
            <w:vAlign w:val="center"/>
          </w:tcPr>
          <w:p>
            <w:pPr>
              <w:spacing w:after="60" w:before="40" w:line="240" w:lineRule="auto"/>
            </w:pPr>
            <w:r>
              <w:rPr>
                <w:rFonts w:ascii="Arial" w:hAnsi="Arial"/>
                <w:b/>
                <w:sz w:val="18"/>
              </w:rPr>
              <w:t>VENTAJA</w:t>
            </w:r>
          </w:p>
        </w:tc>
        <w:tc>
          <w:tcPr>
            <w:tcW w:type="dxa" w:w="3231"/>
            <w:shd w:fill="E7EFF5"/>
            <w:vAlign w:val="center"/>
          </w:tcPr>
          <w:p>
            <w:pPr>
              <w:spacing w:after="60" w:before="40" w:line="240" w:lineRule="auto"/>
            </w:pPr>
            <w:r>
              <w:rPr>
                <w:rFonts w:ascii="Arial" w:hAnsi="Arial"/>
                <w:b/>
                <w:sz w:val="18"/>
              </w:rPr>
              <w:t>LIMITACIÓN</w:t>
            </w:r>
          </w:p>
        </w:tc>
        <w:tc>
          <w:tcPr>
            <w:tcW w:type="dxa" w:w="1417"/>
            <w:shd w:fill="E7EFF5"/>
            <w:vAlign w:val="center"/>
          </w:tcPr>
          <w:p>
            <w:pPr>
              <w:spacing w:after="60" w:before="40" w:line="240" w:lineRule="auto"/>
            </w:pPr>
            <w:r>
              <w:rPr>
                <w:rFonts w:ascii="Arial" w:hAnsi="Arial"/>
                <w:b/>
                <w:sz w:val="18"/>
              </w:rPr>
              <w:t>DECISIÓN</w:t>
            </w:r>
          </w:p>
        </w:tc>
      </w:tr>
      <w:tr>
        <w:trPr>
          <w:cantSplit/>
        </w:trPr>
        <w:tc>
          <w:tcPr>
            <w:tcW w:type="dxa" w:w="2268"/>
            <w:vAlign w:val="center"/>
          </w:tcPr>
          <w:p>
            <w:pPr>
              <w:spacing w:after="60" w:before="40" w:line="240" w:lineRule="auto"/>
            </w:pPr>
            <w:r>
              <w:rPr>
                <w:rFonts w:ascii="Arial" w:hAnsi="Arial"/>
                <w:sz w:val="18"/>
              </w:rPr>
              <w:t>Consultar el OLTP directamente.</w:t>
            </w:r>
          </w:p>
        </w:tc>
        <w:tc>
          <w:tcPr>
            <w:tcW w:type="dxa" w:w="2381"/>
            <w:vAlign w:val="center"/>
          </w:tcPr>
          <w:p>
            <w:pPr>
              <w:spacing w:after="60" w:before="40" w:line="240" w:lineRule="auto"/>
            </w:pPr>
            <w:r>
              <w:rPr>
                <w:rFonts w:ascii="Arial" w:hAnsi="Arial"/>
                <w:sz w:val="18"/>
              </w:rPr>
              <w:t>Menos componentes.</w:t>
            </w:r>
          </w:p>
        </w:tc>
        <w:tc>
          <w:tcPr>
            <w:tcW w:type="dxa" w:w="3231"/>
            <w:vAlign w:val="center"/>
          </w:tcPr>
          <w:p>
            <w:pPr>
              <w:spacing w:after="60" w:before="40" w:line="240" w:lineRule="auto"/>
            </w:pPr>
            <w:r>
              <w:rPr>
                <w:rFonts w:ascii="Arial" w:hAnsi="Arial"/>
                <w:sz w:val="18"/>
              </w:rPr>
              <w:t>Repite reglas en los reportes y mezcla consulta analítica con estructura operativa.</w:t>
            </w:r>
          </w:p>
        </w:tc>
        <w:tc>
          <w:tcPr>
            <w:tcW w:type="dxa" w:w="1417"/>
            <w:vAlign w:val="center"/>
          </w:tcPr>
          <w:p>
            <w:pPr>
              <w:spacing w:after="60" w:before="40" w:line="240" w:lineRule="auto"/>
            </w:pPr>
            <w:r>
              <w:rPr>
                <w:rFonts w:ascii="Arial" w:hAnsi="Arial"/>
                <w:sz w:val="18"/>
              </w:rPr>
              <w:t>No elegida para el alcance BI.</w:t>
            </w:r>
          </w:p>
        </w:tc>
      </w:tr>
      <w:tr>
        <w:trPr>
          <w:cantSplit/>
        </w:trPr>
        <w:tc>
          <w:tcPr>
            <w:tcW w:type="dxa" w:w="2268"/>
            <w:vAlign w:val="center"/>
          </w:tcPr>
          <w:p>
            <w:pPr>
              <w:spacing w:after="60" w:before="40" w:line="240" w:lineRule="auto"/>
            </w:pPr>
            <w:r>
              <w:rPr>
                <w:rFonts w:ascii="Arial" w:hAnsi="Arial"/>
                <w:sz w:val="18"/>
              </w:rPr>
              <w:t>OLTP y Data Mart separados en SQL Server.</w:t>
            </w:r>
          </w:p>
        </w:tc>
        <w:tc>
          <w:tcPr>
            <w:tcW w:type="dxa" w:w="2381"/>
            <w:vAlign w:val="center"/>
          </w:tcPr>
          <w:p>
            <w:pPr>
              <w:spacing w:after="60" w:before="40" w:line="240" w:lineRule="auto"/>
            </w:pPr>
            <w:r>
              <w:rPr>
                <w:rFonts w:ascii="Arial" w:hAnsi="Arial"/>
                <w:sz w:val="18"/>
              </w:rPr>
              <w:t>ETL en T-SQL, relaciones verificables y conexión con Power BI.</w:t>
            </w:r>
          </w:p>
        </w:tc>
        <w:tc>
          <w:tcPr>
            <w:tcW w:type="dxa" w:w="3231"/>
            <w:vAlign w:val="center"/>
          </w:tcPr>
          <w:p>
            <w:pPr>
              <w:spacing w:after="60" w:before="40" w:line="240" w:lineRule="auto"/>
            </w:pPr>
            <w:r>
              <w:rPr>
                <w:rFonts w:ascii="Arial" w:hAnsi="Arial"/>
                <w:sz w:val="18"/>
              </w:rPr>
              <w:t>Requiere ejecutar y mantener la carga; no sincroniza automáticamente la nube.</w:t>
            </w:r>
          </w:p>
        </w:tc>
        <w:tc>
          <w:tcPr>
            <w:tcW w:type="dxa" w:w="1417"/>
            <w:vAlign w:val="center"/>
          </w:tcPr>
          <w:p>
            <w:pPr>
              <w:spacing w:after="60" w:before="40" w:line="240" w:lineRule="auto"/>
            </w:pPr>
            <w:r>
              <w:rPr>
                <w:rFonts w:ascii="Arial" w:hAnsi="Arial"/>
                <w:sz w:val="18"/>
              </w:rPr>
              <w:t>Elegida para T2.</w:t>
            </w:r>
          </w:p>
        </w:tc>
      </w:tr>
      <w:tr>
        <w:trPr>
          <w:cantSplit/>
        </w:trPr>
        <w:tc>
          <w:tcPr>
            <w:tcW w:type="dxa" w:w="2268"/>
            <w:vAlign w:val="center"/>
          </w:tcPr>
          <w:p>
            <w:pPr>
              <w:spacing w:after="60" w:before="40" w:line="240" w:lineRule="auto"/>
            </w:pPr>
            <w:r>
              <w:rPr>
                <w:rFonts w:ascii="Arial" w:hAnsi="Arial"/>
                <w:sz w:val="18"/>
              </w:rPr>
              <w:t>Añadir servicios de integración y publicación en la nube.</w:t>
            </w:r>
          </w:p>
        </w:tc>
        <w:tc>
          <w:tcPr>
            <w:tcW w:type="dxa" w:w="2381"/>
            <w:vAlign w:val="center"/>
          </w:tcPr>
          <w:p>
            <w:pPr>
              <w:spacing w:after="60" w:before="40" w:line="240" w:lineRule="auto"/>
            </w:pPr>
            <w:r>
              <w:rPr>
                <w:rFonts w:ascii="Arial" w:hAnsi="Arial"/>
                <w:sz w:val="18"/>
              </w:rPr>
              <w:t>Permite ampliar la operación futura.</w:t>
            </w:r>
          </w:p>
        </w:tc>
        <w:tc>
          <w:tcPr>
            <w:tcW w:type="dxa" w:w="3231"/>
            <w:vAlign w:val="center"/>
          </w:tcPr>
          <w:p>
            <w:pPr>
              <w:spacing w:after="60" w:before="40" w:line="240" w:lineRule="auto"/>
            </w:pPr>
            <w:r>
              <w:rPr>
                <w:rFonts w:ascii="Arial" w:hAnsi="Arial"/>
                <w:sz w:val="18"/>
              </w:rPr>
              <w:t>Añade configuración y dependencias que no necesita la demostración actual.</w:t>
            </w:r>
          </w:p>
        </w:tc>
        <w:tc>
          <w:tcPr>
            <w:tcW w:type="dxa" w:w="1417"/>
            <w:vAlign w:val="center"/>
          </w:tcPr>
          <w:p>
            <w:pPr>
              <w:spacing w:after="60" w:before="40" w:line="240" w:lineRule="auto"/>
            </w:pPr>
            <w:r>
              <w:rPr>
                <w:rFonts w:ascii="Arial" w:hAnsi="Arial"/>
                <w:sz w:val="18"/>
              </w:rPr>
              <w:t>Fuera de esta entrega.</w:t>
            </w:r>
          </w:p>
        </w:tc>
      </w:tr>
    </w:tbl>
    <w:p>
      <w:r>
        <w:rPr>
          <w:b w:val="0"/>
        </w:rPr>
      </w:r>
    </w:p>
    <w:p>
      <w:bookmarkStart w:id="22" w:name="seccion_22"/>
      <w:pPr>
        <w:pStyle w:val="Heading2"/>
      </w:pPr>
      <w:r>
        <w:t>3.3 Arquitectura integrada y flujo de datos</w:t>
      </w:r>
      <w:bookmarkEnd w:id="22"/>
    </w:p>
    <w:p>
      <w:r>
        <w:rPr>
          <w:b w:val="0"/>
        </w:rPr>
        <w:t>La arquitectura implementada tiene cuatro pasos: origen local, procedimiento ETL en T-SQL, almacenamiento dimensional y consumo mediante vistas desde Power BI. El antecedente MySQL/Clever Cloud se distingue del flujo ejecutable.</w:t>
      </w:r>
    </w:p>
    <w:p>
      <w:pPr>
        <w:keepNext/>
        <w:jc w:val="center"/>
      </w:pPr>
      <w:r>
        <w:rPr>
          <w:b w:val="0"/>
        </w:rPr>
      </w:r>
      <w:r>
        <w:drawing>
          <wp:inline xmlns:a="http://schemas.openxmlformats.org/drawingml/2006/main" xmlns:pic="http://schemas.openxmlformats.org/drawingml/2006/picture">
            <wp:extent cx="4572000" cy="6423589"/>
            <wp:docPr id="2" name="Picture 2"/>
            <wp:cNvGraphicFramePr>
              <a:graphicFrameLocks noChangeAspect="1"/>
            </wp:cNvGraphicFramePr>
            <a:graphic>
              <a:graphicData uri="http://schemas.openxmlformats.org/drawingml/2006/picture">
                <pic:pic>
                  <pic:nvPicPr>
                    <pic:cNvPr id="0" name="arquitectura.png"/>
                    <pic:cNvPicPr/>
                  </pic:nvPicPr>
                  <pic:blipFill>
                    <a:blip r:embed="rId13"/>
                    <a:stretch>
                      <a:fillRect/>
                    </a:stretch>
                  </pic:blipFill>
                  <pic:spPr>
                    <a:xfrm>
                      <a:off x="0" y="0"/>
                      <a:ext cx="4572000" cy="6423589"/>
                    </a:xfrm>
                    <a:prstGeom prst="rect"/>
                  </pic:spPr>
                </pic:pic>
              </a:graphicData>
            </a:graphic>
          </wp:inline>
        </w:drawing>
      </w:r>
    </w:p>
    <w:p>
      <w:pPr>
        <w:pStyle w:val="Caption"/>
        <w:keepNext w:val="0"/>
      </w:pPr>
      <w:r>
        <w:rPr>
          <w:b w:val="0"/>
        </w:rPr>
        <w:t>Figura 1. Arquitectura de la solución BI. E-05. Fuente: elaboración propia a partir de los scripts de la versión 9726a54.</w:t>
      </w:r>
    </w:p>
    <w:p>
      <w:r>
        <w:rPr>
          <w:b w:val="0"/>
        </w:rPr>
        <w:t>El usuario ejecuta dbo.usp_cargar_rendimiento desde SSMS. El procedimiento consulta A&amp;SG_OLTP y escribe en A&amp;SG_DataMart. Power BI utiliza las vistas dimensionales y vw_rendimiento_kpis; no necesita consultar la base MySQL para mostrar esta entrega.</w:t>
      </w:r>
    </w:p>
    <w:p>
      <w:bookmarkStart w:id="23" w:name="seccion_23"/>
      <w:pPr>
        <w:pStyle w:val="Heading2"/>
      </w:pPr>
      <w:r>
        <w:t>3.4 Diseño de la solución de Inteligencia de Negocios</w:t>
      </w:r>
      <w:bookmarkEnd w:id="23"/>
    </w:p>
    <w:p>
      <w:bookmarkStart w:id="24" w:name="seccion_24"/>
      <w:pPr>
        <w:pStyle w:val="Heading3"/>
      </w:pPr>
      <w:r>
        <w:t>3.4.1 Requisitos, usuarios e indicadores</w:t>
      </w:r>
      <w:bookmarkEnd w:id="24"/>
    </w:p>
    <w:p>
      <w:r>
        <w:rPr>
          <w:b w:val="0"/>
        </w:rPr>
        <w:t>Los usuarios previstos son gerencia, gestión administrativa y jefaturas. La demostración se realiza desde el equipo del grupo; esta definición de usuarios no implica que se hayan implementado permisos por departamento ni seguridad por fila en Power BI.</w:t>
      </w:r>
    </w:p>
    <w:p>
      <w:pPr>
        <w:pStyle w:val="Caption"/>
      </w:pPr>
      <w:r>
        <w:rPr>
          <w:b w:val="0"/>
        </w:rPr>
        <w:t>Tabla 5. Definición de indicadores principales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304"/>
            <w:shd w:fill="E7EFF5"/>
            <w:vAlign w:val="center"/>
          </w:tcPr>
          <w:p>
            <w:pPr>
              <w:spacing w:after="60" w:before="40" w:line="240" w:lineRule="auto"/>
            </w:pPr>
            <w:r>
              <w:rPr>
                <w:rFonts w:ascii="Arial" w:hAnsi="Arial"/>
                <w:b/>
                <w:sz w:val="18"/>
              </w:rPr>
              <w:t>INDICADOR</w:t>
            </w:r>
          </w:p>
        </w:tc>
        <w:tc>
          <w:tcPr>
            <w:tcW w:type="dxa" w:w="3402"/>
            <w:shd w:fill="E7EFF5"/>
            <w:vAlign w:val="center"/>
          </w:tcPr>
          <w:p>
            <w:pPr>
              <w:spacing w:after="60" w:before="40" w:line="240" w:lineRule="auto"/>
            </w:pPr>
            <w:r>
              <w:rPr>
                <w:rFonts w:ascii="Arial" w:hAnsi="Arial"/>
                <w:b/>
                <w:sz w:val="18"/>
              </w:rPr>
              <w:t>FÓRMULA</w:t>
            </w:r>
          </w:p>
        </w:tc>
        <w:tc>
          <w:tcPr>
            <w:tcW w:type="dxa" w:w="4592"/>
            <w:shd w:fill="E7EFF5"/>
            <w:vAlign w:val="center"/>
          </w:tcPr>
          <w:p>
            <w:pPr>
              <w:spacing w:after="60" w:before="40" w:line="240" w:lineRule="auto"/>
            </w:pPr>
            <w:r>
              <w:rPr>
                <w:rFonts w:ascii="Arial" w:hAnsi="Arial"/>
                <w:b/>
                <w:sz w:val="18"/>
              </w:rPr>
              <w:t>INTERPRETACIÓN / REGLA</w:t>
            </w:r>
          </w:p>
        </w:tc>
      </w:tr>
      <w:tr>
        <w:trPr>
          <w:cantSplit/>
        </w:trPr>
        <w:tc>
          <w:tcPr>
            <w:tcW w:type="dxa" w:w="1304"/>
            <w:vAlign w:val="center"/>
          </w:tcPr>
          <w:p>
            <w:pPr>
              <w:spacing w:after="60" w:before="40" w:line="240" w:lineRule="auto"/>
            </w:pPr>
            <w:r>
              <w:rPr>
                <w:rFonts w:ascii="Arial" w:hAnsi="Arial"/>
                <w:sz w:val="18"/>
              </w:rPr>
              <w:t>TPA (%)</w:t>
            </w:r>
          </w:p>
        </w:tc>
        <w:tc>
          <w:tcPr>
            <w:tcW w:type="dxa" w:w="3402"/>
            <w:vAlign w:val="center"/>
          </w:tcPr>
          <w:p>
            <w:pPr>
              <w:spacing w:after="60" w:before="40" w:line="240" w:lineRule="auto"/>
            </w:pPr>
            <w:r>
              <w:rPr>
                <w:rFonts w:ascii="Arial" w:hAnsi="Arial"/>
                <w:sz w:val="18"/>
              </w:rPr>
              <w:t>Asistencias a tiempo / total de asistencias válidas × 100.</w:t>
            </w:r>
          </w:p>
        </w:tc>
        <w:tc>
          <w:tcPr>
            <w:tcW w:type="dxa" w:w="4592"/>
            <w:vAlign w:val="center"/>
          </w:tcPr>
          <w:p>
            <w:pPr>
              <w:spacing w:after="60" w:before="40" w:line="240" w:lineRule="auto"/>
            </w:pPr>
            <w:r>
              <w:rPr>
                <w:rFonts w:ascii="Arial" w:hAnsi="Arial"/>
                <w:sz w:val="18"/>
              </w:rPr>
              <w:t>Hasta 09:40:59 es a tiempo; desde 09:41:00 es tardanza. Mayor valor implica mayor puntualidad.</w:t>
            </w:r>
          </w:p>
        </w:tc>
      </w:tr>
      <w:tr>
        <w:trPr>
          <w:cantSplit/>
        </w:trPr>
        <w:tc>
          <w:tcPr>
            <w:tcW w:type="dxa" w:w="1304"/>
            <w:vAlign w:val="center"/>
          </w:tcPr>
          <w:p>
            <w:pPr>
              <w:spacing w:after="60" w:before="40" w:line="240" w:lineRule="auto"/>
            </w:pPr>
            <w:r>
              <w:rPr>
                <w:rFonts w:ascii="Arial" w:hAnsi="Arial"/>
                <w:sz w:val="18"/>
              </w:rPr>
              <w:t>ICT (%)</w:t>
            </w:r>
          </w:p>
        </w:tc>
        <w:tc>
          <w:tcPr>
            <w:tcW w:type="dxa" w:w="3402"/>
            <w:vAlign w:val="center"/>
          </w:tcPr>
          <w:p>
            <w:pPr>
              <w:spacing w:after="60" w:before="40" w:line="240" w:lineRule="auto"/>
            </w:pPr>
            <w:r>
              <w:rPr>
                <w:rFonts w:ascii="Arial" w:hAnsi="Arial"/>
                <w:sz w:val="18"/>
              </w:rPr>
              <w:t>Tareas completadas sin observaciones / total de tareas válidas × 100.</w:t>
            </w:r>
          </w:p>
        </w:tc>
        <w:tc>
          <w:tcPr>
            <w:tcW w:type="dxa" w:w="4592"/>
            <w:vAlign w:val="center"/>
          </w:tcPr>
          <w:p>
            <w:pPr>
              <w:spacing w:after="60" w:before="40" w:line="240" w:lineRule="auto"/>
            </w:pPr>
            <w:r>
              <w:rPr>
                <w:rFonts w:ascii="Arial" w:hAnsi="Arial"/>
                <w:sz w:val="18"/>
              </w:rPr>
              <w:t>Convención académica de aceptación. El origen no registra una aprobación formal independiente.</w:t>
            </w:r>
          </w:p>
        </w:tc>
      </w:tr>
      <w:tr>
        <w:trPr>
          <w:cantSplit/>
        </w:trPr>
        <w:tc>
          <w:tcPr>
            <w:tcW w:type="dxa" w:w="1304"/>
            <w:vAlign w:val="center"/>
          </w:tcPr>
          <w:p>
            <w:pPr>
              <w:spacing w:after="60" w:before="40" w:line="240" w:lineRule="auto"/>
            </w:pPr>
            <w:r>
              <w:rPr>
                <w:rFonts w:ascii="Arial" w:hAnsi="Arial"/>
                <w:sz w:val="18"/>
              </w:rPr>
              <w:t>TDT (%)</w:t>
            </w:r>
          </w:p>
        </w:tc>
        <w:tc>
          <w:tcPr>
            <w:tcW w:type="dxa" w:w="3402"/>
            <w:vAlign w:val="center"/>
          </w:tcPr>
          <w:p>
            <w:pPr>
              <w:spacing w:after="60" w:before="40" w:line="240" w:lineRule="auto"/>
            </w:pPr>
            <w:r>
              <w:rPr>
                <w:rFonts w:ascii="Arial" w:hAnsi="Arial"/>
                <w:sz w:val="18"/>
              </w:rPr>
              <w:t>Tareas con FUERA DE PLAZO en observaciones / total de tareas válidas × 100.</w:t>
            </w:r>
          </w:p>
        </w:tc>
        <w:tc>
          <w:tcPr>
            <w:tcW w:type="dxa" w:w="4592"/>
            <w:vAlign w:val="center"/>
          </w:tcPr>
          <w:p>
            <w:pPr>
              <w:spacing w:after="60" w:before="40" w:line="240" w:lineRule="auto"/>
            </w:pPr>
            <w:r>
              <w:rPr>
                <w:rFonts w:ascii="Arial" w:hAnsi="Arial"/>
                <w:sz w:val="18"/>
              </w:rPr>
              <w:t>Se conserva el nombre del proyecto. No mide todas las devoluciones ni utiliza las enviadas a revisión como denominador.</w:t>
            </w:r>
          </w:p>
        </w:tc>
      </w:tr>
      <w:tr>
        <w:trPr>
          <w:cantSplit/>
        </w:trPr>
        <w:tc>
          <w:tcPr>
            <w:tcW w:type="dxa" w:w="1304"/>
            <w:vAlign w:val="center"/>
          </w:tcPr>
          <w:p>
            <w:pPr>
              <w:spacing w:after="60" w:before="40" w:line="240" w:lineRule="auto"/>
            </w:pPr>
            <w:r>
              <w:rPr>
                <w:rFonts w:ascii="Arial" w:hAnsi="Arial"/>
                <w:sz w:val="18"/>
              </w:rPr>
              <w:t>IEP (puntos)</w:t>
            </w:r>
          </w:p>
        </w:tc>
        <w:tc>
          <w:tcPr>
            <w:tcW w:type="dxa" w:w="3402"/>
            <w:vAlign w:val="center"/>
          </w:tcPr>
          <w:p>
            <w:pPr>
              <w:spacing w:after="60" w:before="40" w:line="240" w:lineRule="auto"/>
            </w:pPr>
            <w:r>
              <w:rPr>
                <w:rFonts w:ascii="Arial" w:hAnsi="Arial"/>
                <w:sz w:val="18"/>
              </w:rPr>
              <w:t>TPA × 0,30 + ICT × 0,50 + (100 − TDT) × 0,20.</w:t>
            </w:r>
          </w:p>
        </w:tc>
        <w:tc>
          <w:tcPr>
            <w:tcW w:type="dxa" w:w="4592"/>
            <w:vAlign w:val="center"/>
          </w:tcPr>
          <w:p>
            <w:pPr>
              <w:spacing w:after="60" w:before="40" w:line="240" w:lineRule="auto"/>
            </w:pPr>
            <w:r>
              <w:rPr>
                <w:rFonts w:ascii="Arial" w:hAnsi="Arial"/>
                <w:sz w:val="18"/>
              </w:rPr>
              <w:t>Escala de 0 a 100. Un valor mayor indica mejor resultado según los pesos adoptados; no es porcentaje ni dinero.</w:t>
            </w:r>
          </w:p>
        </w:tc>
      </w:tr>
    </w:tbl>
    <w:p>
      <w:r>
        <w:rPr>
          <w:b w:val="0"/>
        </w:rPr>
      </w:r>
    </w:p>
    <w:p>
      <w:r>
        <w:rPr>
          <w:b w:val="0"/>
        </w:rPr>
        <w:t>Los indicadores se actualizan al ejecutar el procedimiento y consultar o actualizar el reporte. No existe una programación diaria acreditada ni metas aprobadas por la empresa. Si un denominador es cero, la tasa queda vacía; el IEP también queda vacío si falta un componente. Para resumir el trimestre se suman numeradores y denominadores, en lugar de promediar tasas mensuales. E-06 y E-07.</w:t>
      </w:r>
    </w:p>
    <w:p>
      <w:bookmarkStart w:id="25" w:name="seccion_25"/>
      <w:pPr>
        <w:pStyle w:val="Heading3"/>
      </w:pPr>
      <w:r>
        <w:t>3.4.2 Modelo dimensional y almacén de datos</w:t>
      </w:r>
      <w:bookmarkEnd w:id="25"/>
    </w:p>
    <w:p>
      <w:r>
        <w:rPr>
          <w:b w:val="0"/>
        </w:rPr>
        <w:t>La combinación de claves que define una fila es trabajador, tiempo, proyecto y administrador. Las dimensiones de personas y proyectos conservan tanto su clave interna como el identificador del origen. La fecha se relaciona mediante id_tiempo, con formato numérico AAAAMMDD; la clave primaria de hechos es id_rendimiento.</w:t>
      </w:r>
    </w:p>
    <w:p>
      <w:r>
        <w:rPr>
          <w:b w:val="0"/>
        </w:rPr>
        <w:t>Las asistencias no tienen proyecto ni administrador en el origen. Se cargan una sola vez por trabajador y fecha, con ambas claves en cero. Las tareas se agrupan por las cuatro claves reales y sus medidas de asistencia quedan en cero. Esto impide multiplicar marcaciones cuando existen varias tareas o proyectos. Los registros de calendario esperados sin marca también se representan en la parte de asistencia.</w:t>
      </w:r>
    </w:p>
    <w:p>
      <w:r>
        <w:rPr>
          <w:b w:val="0"/>
        </w:rPr>
        <w:t>Las dimensiones se actualizan sin conservar versiones anteriores de sus atributos. No se implementa SCD tipo 2. Las claves foráneas relacionan cada dimensión con los hechos; bitacora_etl y rechazos_etl son tablas de control, no dimensiones del modelo estrella.</w:t>
      </w:r>
    </w:p>
    <w:p>
      <w:pPr>
        <w:keepNext/>
        <w:jc w:val="center"/>
      </w:pPr>
      <w:r>
        <w:rPr>
          <w:b w:val="0"/>
        </w:rPr>
      </w:r>
      <w:r>
        <w:drawing>
          <wp:inline xmlns:a="http://schemas.openxmlformats.org/drawingml/2006/main" xmlns:pic="http://schemas.openxmlformats.org/drawingml/2006/picture">
            <wp:extent cx="5760000" cy="6367115"/>
            <wp:docPr id="3" name="Picture 3"/>
            <wp:cNvGraphicFramePr>
              <a:graphicFrameLocks noChangeAspect="1"/>
            </wp:cNvGraphicFramePr>
            <a:graphic>
              <a:graphicData uri="http://schemas.openxmlformats.org/drawingml/2006/picture">
                <pic:pic>
                  <pic:nvPicPr>
                    <pic:cNvPr id="0" name="03_Modelo_Estrella_SSMS.png"/>
                    <pic:cNvPicPr/>
                  </pic:nvPicPr>
                  <pic:blipFill>
                    <a:blip r:embed="rId14"/>
                    <a:stretch>
                      <a:fillRect/>
                    </a:stretch>
                  </pic:blipFill>
                  <pic:spPr>
                    <a:xfrm>
                      <a:off x="0" y="0"/>
                      <a:ext cx="5760000" cy="6367115"/>
                    </a:xfrm>
                    <a:prstGeom prst="rect"/>
                  </pic:spPr>
                </pic:pic>
              </a:graphicData>
            </a:graphic>
          </wp:inline>
        </w:drawing>
      </w:r>
    </w:p>
    <w:p>
      <w:pPr>
        <w:pStyle w:val="Caption"/>
        <w:keepNext w:val="0"/>
      </w:pPr>
      <w:r>
        <w:rPr>
          <w:b w:val="0"/>
        </w:rPr>
        <w:t>Figura 2. Modelo físico del Data Mart en SQL Server. E-05. Fuente: captura publicada por el equipo en GitHub.</w:t>
      </w:r>
    </w:p>
    <w:p>
      <w:r>
        <w:rPr>
          <w:b w:val="0"/>
        </w:rPr>
        <w:t>El diccionario completo de columnas está en el anexo B. Los KPI no son columnas físicas de fac_rendimiento_kpis: se obtienen en vistas y medidas a partir de las cantidades almacenadas.</w:t>
      </w:r>
    </w:p>
    <w:p>
      <w:bookmarkStart w:id="26" w:name="seccion_26"/>
      <w:pPr>
        <w:pStyle w:val="Heading3"/>
      </w:pPr>
      <w:r>
        <w:t>3.4.3 Procesos ETL/ELT y calidad</w:t>
      </w:r>
      <w:bookmarkEnd w:id="26"/>
    </w:p>
    <w:p>
      <w:pPr>
        <w:ind w:left="312" w:hanging="312"/>
      </w:pPr>
      <w:r>
        <w:rPr>
          <w:b w:val="0"/>
        </w:rPr>
        <w:t>1. Validar el intervalo solicitado y crear un registro de ejecución en bitacora_etl.</w:t>
      </w:r>
    </w:p>
    <w:p>
      <w:pPr>
        <w:ind w:left="312" w:hanging="312"/>
      </w:pPr>
      <w:r>
        <w:rPr>
          <w:b w:val="0"/>
        </w:rPr>
        <w:t>2. Leer el padrón y catálogos del OLTP; quitar espacios al inicio y al final y actualizar o insertar las dimensiones.</w:t>
      </w:r>
    </w:p>
    <w:p>
      <w:pPr>
        <w:ind w:left="312" w:hanging="312"/>
      </w:pPr>
      <w:r>
        <w:rPr>
          <w:b w:val="0"/>
        </w:rPr>
        <w:t>3. Completar dim_tiempo mediante WHILE, con nombres de meses y días en español.</w:t>
      </w:r>
    </w:p>
    <w:p>
      <w:pPr>
        <w:ind w:left="312" w:hanging="312"/>
      </w:pPr>
      <w:r>
        <w:rPr>
          <w:b w:val="0"/>
        </w:rPr>
        <w:t>4. Extraer las asistencias por fecha de entrada y las tareas por fecha de asignación. Normalizar los estados y convertir observaciones vacías en NULL.</w:t>
      </w:r>
    </w:p>
    <w:p>
      <w:pPr>
        <w:ind w:left="312" w:hanging="312"/>
      </w:pPr>
      <w:r>
        <w:rPr>
          <w:b w:val="0"/>
        </w:rPr>
        <w:t>5. Validar referencias, estados y secuencia de fechas. Registrar en rechazos_etl los movimientos no aceptados, sin alterarlos en el origen.</w:t>
      </w:r>
    </w:p>
    <w:p>
      <w:pPr>
        <w:ind w:left="312" w:hanging="312"/>
      </w:pPr>
      <w:r>
        <w:rPr>
          <w:b w:val="0"/>
        </w:rPr>
        <w:t>6. Reemplazar los hechos del intervalo dentro de una transacción. Cargar asistencia y tareas por separado para conservar sus cantidades.</w:t>
      </w:r>
    </w:p>
    <w:p>
      <w:pPr>
        <w:ind w:left="312" w:hanging="312"/>
      </w:pPr>
      <w:r>
        <w:rPr>
          <w:b w:val="0"/>
        </w:rPr>
        <w:t>7. Actualizar la bitácora como Completada, Con rechazos o Fallida. Ante un error, revertir la escritura del destino y registrar el mensaje.</w:t>
      </w:r>
    </w:p>
    <w:p>
      <w:r>
        <w:rPr>
          <w:b w:val="0"/>
        </w:rPr>
        <w:t>Ejemplos de rechazo: salida anterior a la entrada, estado de tarea desconocido, tarea completada sin entrega y tarea pendiente con entrega registrada. El conjunto inicial documentado terminó con cero rechazos; esto no significa que cualquier origen futuro vaya a estar libre de errores.</w:t>
      </w:r>
    </w:p>
    <w:p>
      <w:r>
        <w:rPr>
          <w:b w:val="0"/>
        </w:rPr>
        <w:t>La creación de bases y tablas se realiza una sola vez. El procedimiento puede ejecutarse de nuevo para el mismo intervalo; las cantidades y medidas permanecen iguales aunque cambien los identificadores técnicos de carga y de las filas reconstruidas. Ejecutar una carga a la vez, sin otra transacción abierta. El origen debe permanecer estable durante la demostración. E-04, E-06, E-09 y E-10.</w:t>
      </w:r>
    </w:p>
    <w:p>
      <w:bookmarkStart w:id="27" w:name="seccion_27"/>
      <w:pPr>
        <w:pStyle w:val="Heading3"/>
      </w:pPr>
      <w:r>
        <w:t>3.4.4 OLAP, reportes y dashboards</w:t>
      </w:r>
      <w:bookmarkEnd w:id="27"/>
    </w:p>
    <w:p>
      <w:r>
        <w:rPr>
          <w:b w:val="0"/>
        </w:rPr>
        <w:t>El archivo principal es Reporte_Rendimiento_Personal.pbix y contiene dos páginas. La primera, Rendimiento del personal, muestra seis tarjetas —asistencias, tareas, TPA, ICT, TDT e IEP—, dos segmentadores y un gráfico de barras horizontales ordenado por IEP. Los filtros de mes y trabajador permiten comparar el conjunto con un caso individual.</w:t>
      </w:r>
    </w:p>
    <w:p>
      <w:r>
        <w:rPr>
          <w:b w:val="0"/>
        </w:rPr>
        <w:t>La segunda página, Bono por efectividad, presenta dos tablas con filtros superior e inferior de un trabajador por IEP. Usa una base referencial de S/ 1.500 y un bono máximo de 20%. La selección responde al puntaje; no se fijan los nombres manualmente. El archivo Bono_por_efectividad.pbix publicado en la versión revisada es una copia idéntica del archivo principal, no una solución distinta.</w:t>
      </w:r>
    </w:p>
    <w:p>
      <w:r>
        <w:rPr>
          <w:b w:val="0"/>
        </w:rPr>
        <w:t>Las cuatro relaciones entre vistas son activas, de uno a varios y con filtro desde la dimensión hacia los hechos. El rendimiento general se filtra por trabajador y tiempo. No se atribuye TPA o IEP a un proyecto, porque la asistencia no tiene esa asociación en el origen.</w:t>
      </w:r>
    </w:p>
    <w:p>
      <w:pPr>
        <w:keepNext/>
        <w:jc w:val="center"/>
      </w:pPr>
      <w:r>
        <w:rPr>
          <w:b w:val="0"/>
        </w:rPr>
      </w:r>
      <w:r>
        <w:drawing>
          <wp:inline xmlns:a="http://schemas.openxmlformats.org/drawingml/2006/main" xmlns:pic="http://schemas.openxmlformats.org/drawingml/2006/picture">
            <wp:extent cx="5400000" cy="4404834"/>
            <wp:docPr id="4" name="Picture 4"/>
            <wp:cNvGraphicFramePr>
              <a:graphicFrameLocks noChangeAspect="1"/>
            </wp:cNvGraphicFramePr>
            <a:graphic>
              <a:graphicData uri="http://schemas.openxmlformats.org/drawingml/2006/picture">
                <pic:pic>
                  <pic:nvPicPr>
                    <pic:cNvPr id="0" name="06_Modelo_PowerBI.png"/>
                    <pic:cNvPicPr/>
                  </pic:nvPicPr>
                  <pic:blipFill>
                    <a:blip r:embed="rId15"/>
                    <a:stretch>
                      <a:fillRect/>
                    </a:stretch>
                  </pic:blipFill>
                  <pic:spPr>
                    <a:xfrm>
                      <a:off x="0" y="0"/>
                      <a:ext cx="5400000" cy="4404834"/>
                    </a:xfrm>
                    <a:prstGeom prst="rect"/>
                  </pic:spPr>
                </pic:pic>
              </a:graphicData>
            </a:graphic>
          </wp:inline>
        </w:drawing>
      </w:r>
    </w:p>
    <w:p>
      <w:pPr>
        <w:pStyle w:val="Caption"/>
        <w:keepNext w:val="0"/>
      </w:pPr>
      <w:r>
        <w:rPr>
          <w:b w:val="0"/>
        </w:rPr>
        <w:t>Figura 3. Relaciones activas del modelo en Power BI. E-05. Fuente: captura publicada por el equipo en GitHub.</w:t>
      </w:r>
    </w:p>
    <w:p>
      <w:r>
        <w:rPr>
          <w:b w:val="0"/>
        </w:rPr>
        <w:t>La captura de rendimiento se presenta en el capítulo VI. No se incluyen gráficos de dona, mapas de calor ni matrices por departamento porque no forman parte del reporte publicado. El análisis utiliza el modelo tabular de Power BI; no requiere crear un cubo independiente.</w:t>
      </w:r>
    </w:p>
    <w:p>
      <w:bookmarkStart w:id="28" w:name="seccion_28"/>
      <w:pPr>
        <w:pStyle w:val="Heading2"/>
      </w:pPr>
      <w:r>
        <w:t>3.5 Diseño de la solución Big Data</w:t>
      </w:r>
      <w:bookmarkEnd w:id="28"/>
    </w:p>
    <w:p>
      <w:bookmarkStart w:id="29" w:name="seccion_29"/>
      <w:pPr>
        <w:pStyle w:val="Heading3"/>
      </w:pPr>
      <w:r>
        <w:t>3.5.1 Justificación y requisitos Big Data</w:t>
      </w:r>
      <w:bookmarkEnd w:id="29"/>
    </w:p>
    <w:p>
      <w:bookmarkStart w:id="30" w:name="seccion_30"/>
      <w:pPr>
        <w:pStyle w:val="Heading3"/>
      </w:pPr>
      <w:r>
        <w:t>3.5.2 Arquitectura y componentes</w:t>
      </w:r>
      <w:bookmarkEnd w:id="30"/>
    </w:p>
    <w:p>
      <w:bookmarkStart w:id="31" w:name="seccion_31"/>
      <w:pPr>
        <w:pStyle w:val="Heading3"/>
      </w:pPr>
      <w:r>
        <w:t>3.5.3 Modelo y ciclo de vida de datos</w:t>
      </w:r>
      <w:bookmarkEnd w:id="31"/>
    </w:p>
    <w:p>
      <w:bookmarkStart w:id="32" w:name="seccion_32"/>
      <w:pPr>
        <w:pStyle w:val="Heading3"/>
      </w:pPr>
      <w:r>
        <w:t>3.5.4 Escalabilidad, resiliencia y operación</w:t>
      </w:r>
      <w:bookmarkEnd w:id="32"/>
    </w:p>
    <w:p>
      <w:bookmarkStart w:id="33" w:name="seccion_33"/>
      <w:pPr>
        <w:pStyle w:val="Heading3"/>
      </w:pPr>
      <w:r>
        <w:t>3.5.5 Resultados</w:t>
      </w:r>
      <w:bookmarkEnd w:id="33"/>
    </w:p>
    <w:p>
      <w:r>
        <w:rPr>
          <w:b w:val="0"/>
        </w:rPr>
        <w:t>Los apartados 3.5.1 a 3.5.5 quedan reservados para la siguiente etapa; no se desarrollan en T2.</w:t>
      </w:r>
    </w:p>
    <w:p>
      <w:bookmarkStart w:id="34" w:name="seccion_34"/>
      <w:pPr>
        <w:pStyle w:val="Heading2"/>
      </w:pPr>
      <w:r>
        <w:t>3.6 Seguridad, privacidad y riesgos</w:t>
      </w:r>
      <w:bookmarkEnd w:id="34"/>
    </w:p>
    <w:p>
      <w:r>
        <w:rPr>
          <w:b w:val="0"/>
        </w:rPr>
        <w:t>El prototipo limita la publicación de información de contacto y credenciales. El Data Mart contiene nombres y códigos visibles; no se afirma anonimización completa. La conexión a SQL Server requiere las credenciales de la instancia del equipo, que no se guardan en el informe ni se publican en el repositorio.</w:t>
      </w:r>
    </w:p>
    <w:p>
      <w:r>
        <w:rPr>
          <w:b w:val="0"/>
        </w:rPr>
        <w:t>La integridad se apoya en claves foráneas, unicidad, validaciones y transacciones. La bitácora registra cargas, pero no sustituye una auditoría de todas las modificaciones del servidor. No hay evidencia de RLS por área, respaldos automáticos ni enmascaramiento de nombres implementados. Esas medidas deben evaluarse antes de un uso empresarial.</w:t>
      </w:r>
    </w:p>
    <w:p>
      <w:r>
        <w:rPr>
          <w:b w:val="0"/>
        </w:rPr>
        <w:t>Los riesgos principales son interpretar la simulación como rendimiento real, utilizar el bono como sueldo autorizado y modificar el origen durante una carga. Se mitigan con avisos visibles, fórmulas documentadas y un conjunto estable para la demostración. Los indicadores no incorporan complejidad, calidad técnica independiente ni condiciones contractuales.</w:t>
      </w:r>
    </w:p>
    <w:p>
      <w:bookmarkStart w:id="35" w:name="seccion_35"/>
      <w:pPr>
        <w:pStyle w:val="Heading2"/>
      </w:pPr>
      <w:r>
        <w:t>3.7 Plan de despliegue y aceptación</w:t>
      </w:r>
      <w:bookmarkEnd w:id="35"/>
    </w:p>
    <w:p>
      <w:r>
        <w:rPr>
          <w:b w:val="0"/>
        </w:rPr>
        <w:t>La instalación corresponde al entorno académico del equipo. Desde una instancia nueva, seguir el orden de E-04:</w:t>
      </w:r>
    </w:p>
    <w:p>
      <w:pPr>
        <w:ind w:left="312" w:hanging="312"/>
      </w:pPr>
      <w:r>
        <w:rPr>
          <w:b w:val="0"/>
        </w:rPr>
        <w:t>1. Ejecutar 01_Base_Datos/01_Estructura_y_Datos.sql para crear y poblar A&amp;SG_OLTP.</w:t>
      </w:r>
    </w:p>
    <w:p>
      <w:pPr>
        <w:ind w:left="312" w:hanging="312"/>
      </w:pPr>
      <w:r>
        <w:rPr>
          <w:b w:val="0"/>
        </w:rPr>
        <w:t>2. Ejecutar una sola vez 01_Base_Datos/02_Creacion_Data_Mart.sql.</w:t>
      </w:r>
    </w:p>
    <w:p>
      <w:pPr>
        <w:ind w:left="312" w:hanging="312"/>
      </w:pPr>
      <w:r>
        <w:rPr>
          <w:b w:val="0"/>
        </w:rPr>
        <w:t>3. Ejecutar 02_Procedimientos_Almacenados/02_Procedimiento_ETL.sql.</w:t>
      </w:r>
    </w:p>
    <w:p>
      <w:pPr>
        <w:ind w:left="312" w:hanging="312"/>
      </w:pPr>
      <w:r>
        <w:rPr>
          <w:b w:val="0"/>
        </w:rPr>
        <w:t>4. Ejecutar 02_Procedimientos_Almacenados/03_Vistas_PowerBI.sql.</w:t>
      </w:r>
    </w:p>
    <w:p>
      <w:pPr>
        <w:ind w:left="312" w:hanging="312"/>
      </w:pPr>
      <w:r>
        <w:rPr>
          <w:b w:val="0"/>
        </w:rPr>
        <w:t>5. Ejecutar 04_Documentacion/01_Validacion_ETL.sql y revisar sus resultados.</w:t>
      </w:r>
    </w:p>
    <w:p>
      <w:pPr>
        <w:ind w:left="312" w:hanging="312"/>
      </w:pPr>
      <w:r>
        <w:rPr>
          <w:b w:val="0"/>
        </w:rPr>
        <w:t>6. Abrir Reporte_Rendimiento_Personal.pbix, ajustar el servidor en Configuración de origen de datos y conectar con A&amp;SG_DataMart.</w:t>
      </w:r>
    </w:p>
    <w:p>
      <w:pPr>
        <w:ind w:left="312" w:hanging="312"/>
      </w:pPr>
      <w:r>
        <w:rPr>
          <w:b w:val="0"/>
        </w:rPr>
        <w:t>7. Actualizar los visuales, verificar las cuatro relaciones y comparar las cifras con las consultas SQL.</w:t>
      </w:r>
    </w:p>
    <w:p>
      <w:r>
        <w:rPr>
          <w:b w:val="0"/>
        </w:rPr>
        <w:t>Si las tablas ya existen, no volver a ejecutar la creación del Data Mart. El archivo 03_Alinear_Personal_Origen.sql sirve para instalaciones anteriores; no es necesario al crear desde cero con el generador vigente. Las actualizaciones posteriores del trimestre se realizan con el procedimiento.</w:t>
      </w:r>
    </w:p>
    <w:tbl>
      <w:tblPr>
        <w:tblStyle w:val="TableGrid"/>
        <w:tblW w:type="auto" w:w="0"/>
        <w:tblLook w:firstColumn="1" w:firstRow="1" w:lastColumn="0" w:lastRow="0" w:noHBand="0" w:noVBand="1" w:val="04A0"/>
      </w:tblPr>
      <w:tblGrid>
        <w:gridCol w:w="9411"/>
      </w:tblGrid>
      <w:tr>
        <w:trPr>
          <w:cantSplit/>
        </w:trPr>
        <w:tc>
          <w:tcPr>
            <w:tcW w:type="dxa" w:w="9411"/>
            <w:shd w:fill="F4F6F8"/>
          </w:tcPr>
          <w:p>
            <w:pPr>
              <w:spacing w:after="20" w:line="240" w:lineRule="auto"/>
            </w:pPr>
            <w:r>
              <w:rPr>
                <w:rFonts w:ascii="Consolas" w:hAnsi="Consolas"/>
                <w:sz w:val="17"/>
              </w:rPr>
              <w:t>USE [A&amp;SG_DataMart];</w:t>
              <w:br/>
              <w:t>GO</w:t>
              <w:br/>
              <w:t>EXEC dbo.usp_cargar_rendimiento '20260701', '20260930';</w:t>
              <w:br/>
              <w:t>GO</w:t>
            </w:r>
          </w:p>
        </w:tc>
      </w:tr>
    </w:tbl>
    <w:p>
      <w:r>
        <w:rPr>
          <w:b w:val="0"/>
        </w:rPr>
      </w:r>
    </w:p>
    <w:p>
      <w:r>
        <w:rPr>
          <w:b w:val="0"/>
        </w:rPr>
        <w:t>La aceptación comprueba conteos, fórmulas y repetibilidad. Antes de cambiar scripts o el archivo PBIX se conserva una copia o una versión en Git. Una carga fallida revierte su escritura en destino; no se presenta esa transacción como un sistema de respaldo completo.</w:t>
      </w:r>
    </w:p>
    <w:p>
      <w:bookmarkStart w:id="36" w:name="seccion_36"/>
      <w:pPr>
        <w:pStyle w:val="Heading1"/>
      </w:pPr>
      <w:r>
        <w:t>CAPÍTULO IV: DISEÑO DEL EXPERIMENTO</w:t>
      </w:r>
      <w:bookmarkEnd w:id="36"/>
    </w:p>
    <w:p>
      <w:bookmarkStart w:id="37" w:name="seccion_37"/>
      <w:pPr>
        <w:pStyle w:val="Heading2"/>
      </w:pPr>
      <w:r>
        <w:t>4.1 Pregunta experimental, objetivo e hipótesis</w:t>
      </w:r>
      <w:bookmarkEnd w:id="37"/>
    </w:p>
    <w:p>
      <w:r>
        <w:rPr>
          <w:b w:val="0"/>
        </w:rPr>
        <w:t>Pregunta: ¿el ETL conserva las cantidades de asistencias y tareas del trimestre y permite repetir la carga sin alterar las medidas del Data Mart?</w:t>
      </w:r>
    </w:p>
    <w:p>
      <w:r>
        <w:rPr>
          <w:b w:val="0"/>
        </w:rPr>
        <w:t>Objetivo: comprobar la integridad de la transformación y la consistencia de los indicadores con los datos simulados. La evaluación se concentra en calidad y funcionamiento, sin comparar el rendimiento de motores distintos.</w:t>
      </w:r>
    </w:p>
    <w:p>
      <w:r>
        <w:rPr>
          <w:b w:val="0"/>
        </w:rPr>
        <w:t>Hipótesis de trabajo: al ejecutar el procedimiento con el mismo origen y período se mantienen las cantidades por mes y las mismas medidas por combinación de claves. La evidencia permite aceptar o rechazar esa afirmación para el conjunto utilizado; no mide la velocidad de una carga de producción.</w:t>
      </w:r>
    </w:p>
    <w:p>
      <w:bookmarkStart w:id="38" w:name="seccion_38"/>
      <w:pPr>
        <w:pStyle w:val="Heading2"/>
      </w:pPr>
      <w:r>
        <w:t>4.2 Escenario y datasets</w:t>
      </w:r>
      <w:bookmarkEnd w:id="38"/>
    </w:p>
    <w:p>
      <w:pPr>
        <w:pStyle w:val="Caption"/>
      </w:pPr>
      <w:r>
        <w:rPr>
          <w:b w:val="0"/>
        </w:rPr>
        <w:t>Tabla 6. Conjuntos de datos utilizados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701"/>
            <w:shd w:fill="E7EFF5"/>
            <w:vAlign w:val="center"/>
          </w:tcPr>
          <w:p>
            <w:pPr>
              <w:spacing w:after="60" w:before="40" w:line="240" w:lineRule="auto"/>
            </w:pPr>
            <w:r>
              <w:rPr>
                <w:rFonts w:ascii="Arial" w:hAnsi="Arial"/>
                <w:b/>
                <w:sz w:val="18"/>
              </w:rPr>
              <w:t>CONJUNTO</w:t>
            </w:r>
          </w:p>
        </w:tc>
        <w:tc>
          <w:tcPr>
            <w:tcW w:type="dxa" w:w="3402"/>
            <w:shd w:fill="E7EFF5"/>
            <w:vAlign w:val="center"/>
          </w:tcPr>
          <w:p>
            <w:pPr>
              <w:spacing w:after="60" w:before="40" w:line="240" w:lineRule="auto"/>
            </w:pPr>
            <w:r>
              <w:rPr>
                <w:rFonts w:ascii="Arial" w:hAnsi="Arial"/>
                <w:b/>
                <w:sz w:val="18"/>
              </w:rPr>
              <w:t>PROCEDENCIA / VOLUMEN</w:t>
            </w:r>
          </w:p>
        </w:tc>
        <w:tc>
          <w:tcPr>
            <w:tcW w:type="dxa" w:w="2835"/>
            <w:shd w:fill="E7EFF5"/>
            <w:vAlign w:val="center"/>
          </w:tcPr>
          <w:p>
            <w:pPr>
              <w:spacing w:after="60" w:before="40" w:line="240" w:lineRule="auto"/>
            </w:pPr>
            <w:r>
              <w:rPr>
                <w:rFonts w:ascii="Arial" w:hAnsi="Arial"/>
                <w:b/>
                <w:sz w:val="18"/>
              </w:rPr>
              <w:t>TRATAMIENTO</w:t>
            </w:r>
          </w:p>
        </w:tc>
        <w:tc>
          <w:tcPr>
            <w:tcW w:type="dxa" w:w="1361"/>
            <w:shd w:fill="E7EFF5"/>
            <w:vAlign w:val="center"/>
          </w:tcPr>
          <w:p>
            <w:pPr>
              <w:spacing w:after="60" w:before="40" w:line="240" w:lineRule="auto"/>
            </w:pPr>
            <w:r>
              <w:rPr>
                <w:rFonts w:ascii="Arial" w:hAnsi="Arial"/>
                <w:b/>
                <w:sz w:val="18"/>
              </w:rPr>
              <w:t>EVIDENCIA</w:t>
            </w:r>
          </w:p>
        </w:tc>
      </w:tr>
      <w:tr>
        <w:trPr>
          <w:cantSplit/>
        </w:trPr>
        <w:tc>
          <w:tcPr>
            <w:tcW w:type="dxa" w:w="1701"/>
            <w:vAlign w:val="center"/>
          </w:tcPr>
          <w:p>
            <w:pPr>
              <w:spacing w:after="60" w:before="40" w:line="240" w:lineRule="auto"/>
            </w:pPr>
            <w:r>
              <w:rPr>
                <w:rFonts w:ascii="Arial" w:hAnsi="Arial"/>
                <w:sz w:val="18"/>
              </w:rPr>
              <w:t>Referencia original</w:t>
            </w:r>
          </w:p>
        </w:tc>
        <w:tc>
          <w:tcPr>
            <w:tcW w:type="dxa" w:w="3402"/>
            <w:vAlign w:val="center"/>
          </w:tcPr>
          <w:p>
            <w:pPr>
              <w:spacing w:after="60" w:before="40" w:line="240" w:lineRule="auto"/>
            </w:pPr>
            <w:r>
              <w:rPr>
                <w:rFonts w:ascii="Arial" w:hAnsi="Arial"/>
                <w:sz w:val="18"/>
              </w:rPr>
              <w:t>Esquema y padrón del archivo MySQL proporcionado; diez trabajadores.</w:t>
            </w:r>
          </w:p>
        </w:tc>
        <w:tc>
          <w:tcPr>
            <w:tcW w:type="dxa" w:w="2835"/>
            <w:vAlign w:val="center"/>
          </w:tcPr>
          <w:p>
            <w:pPr>
              <w:spacing w:after="60" w:before="40" w:line="240" w:lineRule="auto"/>
            </w:pPr>
            <w:r>
              <w:rPr>
                <w:rFonts w:ascii="Arial" w:hAnsi="Arial"/>
                <w:sz w:val="18"/>
              </w:rPr>
              <w:t>Se conserva la correspondencia de identidades; el volcado íntegro no se publica.</w:t>
            </w:r>
          </w:p>
        </w:tc>
        <w:tc>
          <w:tcPr>
            <w:tcW w:type="dxa" w:w="1361"/>
            <w:vAlign w:val="center"/>
          </w:tcPr>
          <w:p>
            <w:pPr>
              <w:spacing w:after="60" w:before="40" w:line="240" w:lineRule="auto"/>
            </w:pPr>
            <w:r>
              <w:rPr>
                <w:rFonts w:ascii="Arial" w:hAnsi="Arial"/>
                <w:sz w:val="18"/>
              </w:rPr>
              <w:t>E-01</w:t>
            </w:r>
          </w:p>
        </w:tc>
      </w:tr>
      <w:tr>
        <w:trPr>
          <w:cantSplit/>
        </w:trPr>
        <w:tc>
          <w:tcPr>
            <w:tcW w:type="dxa" w:w="1701"/>
            <w:vAlign w:val="center"/>
          </w:tcPr>
          <w:p>
            <w:pPr>
              <w:spacing w:after="60" w:before="40" w:line="240" w:lineRule="auto"/>
            </w:pPr>
            <w:r>
              <w:rPr>
                <w:rFonts w:ascii="Arial" w:hAnsi="Arial"/>
                <w:sz w:val="18"/>
              </w:rPr>
              <w:t>OLTP académico</w:t>
            </w:r>
          </w:p>
        </w:tc>
        <w:tc>
          <w:tcPr>
            <w:tcW w:type="dxa" w:w="3402"/>
            <w:vAlign w:val="center"/>
          </w:tcPr>
          <w:p>
            <w:pPr>
              <w:spacing w:after="60" w:before="40" w:line="240" w:lineRule="auto"/>
            </w:pPr>
            <w:r>
              <w:rPr>
                <w:rFonts w:ascii="Arial" w:hAnsi="Arial"/>
                <w:sz w:val="18"/>
              </w:rPr>
              <w:t>Generador T-SQL: 582 asistencias y 582 tareas de julio–septiembre de 2026.</w:t>
            </w:r>
          </w:p>
        </w:tc>
        <w:tc>
          <w:tcPr>
            <w:tcW w:type="dxa" w:w="2835"/>
            <w:vAlign w:val="center"/>
          </w:tcPr>
          <w:p>
            <w:pPr>
              <w:spacing w:after="60" w:before="40" w:line="240" w:lineRule="auto"/>
            </w:pPr>
            <w:r>
              <w:rPr>
                <w:rFonts w:ascii="Arial" w:hAnsi="Arial"/>
                <w:sz w:val="18"/>
              </w:rPr>
              <w:t>Una tarea por jornada; horarios y estados definidos por reglas académicas.</w:t>
            </w:r>
          </w:p>
        </w:tc>
        <w:tc>
          <w:tcPr>
            <w:tcW w:type="dxa" w:w="1361"/>
            <w:vAlign w:val="center"/>
          </w:tcPr>
          <w:p>
            <w:pPr>
              <w:spacing w:after="60" w:before="40" w:line="240" w:lineRule="auto"/>
            </w:pPr>
            <w:r>
              <w:rPr>
                <w:rFonts w:ascii="Arial" w:hAnsi="Arial"/>
                <w:sz w:val="18"/>
              </w:rPr>
              <w:t>E-03</w:t>
            </w:r>
          </w:p>
        </w:tc>
      </w:tr>
      <w:tr>
        <w:trPr>
          <w:cantSplit/>
        </w:trPr>
        <w:tc>
          <w:tcPr>
            <w:tcW w:type="dxa" w:w="1701"/>
            <w:vAlign w:val="center"/>
          </w:tcPr>
          <w:p>
            <w:pPr>
              <w:spacing w:after="60" w:before="40" w:line="240" w:lineRule="auto"/>
            </w:pPr>
            <w:r>
              <w:rPr>
                <w:rFonts w:ascii="Arial" w:hAnsi="Arial"/>
                <w:sz w:val="18"/>
              </w:rPr>
              <w:t>Data Mart</w:t>
            </w:r>
          </w:p>
        </w:tc>
        <w:tc>
          <w:tcPr>
            <w:tcW w:type="dxa" w:w="3402"/>
            <w:vAlign w:val="center"/>
          </w:tcPr>
          <w:p>
            <w:pPr>
              <w:spacing w:after="60" w:before="40" w:line="240" w:lineRule="auto"/>
            </w:pPr>
            <w:r>
              <w:rPr>
                <w:rFonts w:ascii="Arial" w:hAnsi="Arial"/>
                <w:sz w:val="18"/>
              </w:rPr>
              <w:t>1.164 filas de hechos y 30 resúmenes trabajador-mes documentados.</w:t>
            </w:r>
          </w:p>
        </w:tc>
        <w:tc>
          <w:tcPr>
            <w:tcW w:type="dxa" w:w="2835"/>
            <w:vAlign w:val="center"/>
          </w:tcPr>
          <w:p>
            <w:pPr>
              <w:spacing w:after="60" w:before="40" w:line="240" w:lineRule="auto"/>
            </w:pPr>
            <w:r>
              <w:rPr>
                <w:rFonts w:ascii="Arial" w:hAnsi="Arial"/>
                <w:sz w:val="18"/>
              </w:rPr>
              <w:t>Limpieza, validación, claves de dimensiones y medidas aditivas.</w:t>
            </w:r>
          </w:p>
        </w:tc>
        <w:tc>
          <w:tcPr>
            <w:tcW w:type="dxa" w:w="1361"/>
            <w:vAlign w:val="center"/>
          </w:tcPr>
          <w:p>
            <w:pPr>
              <w:spacing w:after="60" w:before="40" w:line="240" w:lineRule="auto"/>
            </w:pPr>
            <w:r>
              <w:rPr>
                <w:rFonts w:ascii="Arial" w:hAnsi="Arial"/>
                <w:sz w:val="18"/>
              </w:rPr>
              <w:t>E-02 / E-07</w:t>
            </w:r>
          </w:p>
        </w:tc>
      </w:tr>
    </w:tbl>
    <w:p>
      <w:r>
        <w:rPr>
          <w:b w:val="0"/>
        </w:rPr>
      </w:r>
    </w:p>
    <w:p>
      <w:bookmarkStart w:id="39" w:name="seccion_39"/>
      <w:pPr>
        <w:pStyle w:val="Heading2"/>
      </w:pPr>
      <w:r>
        <w:t>4.3 Variables, métricas y criterios de aceptación</w:t>
      </w:r>
      <w:bookmarkEnd w:id="39"/>
    </w:p>
    <w:p>
      <w:pPr>
        <w:pStyle w:val="Caption"/>
      </w:pPr>
      <w:r>
        <w:rPr>
          <w:b w:val="0"/>
        </w:rPr>
        <w:t>Tabla 7. Métricas de validación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247"/>
            <w:shd w:fill="E7EFF5"/>
            <w:vAlign w:val="center"/>
          </w:tcPr>
          <w:p>
            <w:pPr>
              <w:spacing w:after="60" w:before="40" w:line="240" w:lineRule="auto"/>
            </w:pPr>
            <w:r>
              <w:rPr>
                <w:rFonts w:ascii="Arial" w:hAnsi="Arial"/>
                <w:b/>
                <w:sz w:val="18"/>
              </w:rPr>
              <w:t>TIPO</w:t>
            </w:r>
          </w:p>
        </w:tc>
        <w:tc>
          <w:tcPr>
            <w:tcW w:type="dxa" w:w="2268"/>
            <w:shd w:fill="E7EFF5"/>
            <w:vAlign w:val="center"/>
          </w:tcPr>
          <w:p>
            <w:pPr>
              <w:spacing w:after="60" w:before="40" w:line="240" w:lineRule="auto"/>
            </w:pPr>
            <w:r>
              <w:rPr>
                <w:rFonts w:ascii="Arial" w:hAnsi="Arial"/>
                <w:b/>
                <w:sz w:val="18"/>
              </w:rPr>
              <w:t>VARIABLE</w:t>
            </w:r>
          </w:p>
        </w:tc>
        <w:tc>
          <w:tcPr>
            <w:tcW w:type="dxa" w:w="3005"/>
            <w:shd w:fill="E7EFF5"/>
            <w:vAlign w:val="center"/>
          </w:tcPr>
          <w:p>
            <w:pPr>
              <w:spacing w:after="60" w:before="40" w:line="240" w:lineRule="auto"/>
            </w:pPr>
            <w:r>
              <w:rPr>
                <w:rFonts w:ascii="Arial" w:hAnsi="Arial"/>
                <w:b/>
                <w:sz w:val="18"/>
              </w:rPr>
              <w:t>MÉTODO</w:t>
            </w:r>
          </w:p>
        </w:tc>
        <w:tc>
          <w:tcPr>
            <w:tcW w:type="dxa" w:w="2778"/>
            <w:shd w:fill="E7EFF5"/>
            <w:vAlign w:val="center"/>
          </w:tcPr>
          <w:p>
            <w:pPr>
              <w:spacing w:after="60" w:before="40" w:line="240" w:lineRule="auto"/>
            </w:pPr>
            <w:r>
              <w:rPr>
                <w:rFonts w:ascii="Arial" w:hAnsi="Arial"/>
                <w:b/>
                <w:sz w:val="18"/>
              </w:rPr>
              <w:t>CRITERIO</w:t>
            </w:r>
          </w:p>
        </w:tc>
      </w:tr>
      <w:tr>
        <w:trPr>
          <w:cantSplit/>
        </w:trPr>
        <w:tc>
          <w:tcPr>
            <w:tcW w:type="dxa" w:w="1247"/>
            <w:vAlign w:val="center"/>
          </w:tcPr>
          <w:p>
            <w:pPr>
              <w:spacing w:after="60" w:before="40" w:line="240" w:lineRule="auto"/>
            </w:pPr>
            <w:r>
              <w:rPr>
                <w:rFonts w:ascii="Arial" w:hAnsi="Arial"/>
                <w:sz w:val="18"/>
              </w:rPr>
              <w:t>Entrada</w:t>
            </w:r>
          </w:p>
        </w:tc>
        <w:tc>
          <w:tcPr>
            <w:tcW w:type="dxa" w:w="2268"/>
            <w:vAlign w:val="center"/>
          </w:tcPr>
          <w:p>
            <w:pPr>
              <w:spacing w:after="60" w:before="40" w:line="240" w:lineRule="auto"/>
            </w:pPr>
            <w:r>
              <w:rPr>
                <w:rFonts w:ascii="Arial" w:hAnsi="Arial"/>
                <w:sz w:val="18"/>
              </w:rPr>
              <w:t>Mes o intervalo de carga.</w:t>
            </w:r>
          </w:p>
        </w:tc>
        <w:tc>
          <w:tcPr>
            <w:tcW w:type="dxa" w:w="3005"/>
            <w:vAlign w:val="center"/>
          </w:tcPr>
          <w:p>
            <w:pPr>
              <w:spacing w:after="60" w:before="40" w:line="240" w:lineRule="auto"/>
            </w:pPr>
            <w:r>
              <w:rPr>
                <w:rFonts w:ascii="Arial" w:hAnsi="Arial"/>
                <w:sz w:val="18"/>
              </w:rPr>
              <w:t>Parámetros @fecha_desde y @fecha_hasta.</w:t>
            </w:r>
          </w:p>
        </w:tc>
        <w:tc>
          <w:tcPr>
            <w:tcW w:type="dxa" w:w="2778"/>
            <w:vAlign w:val="center"/>
          </w:tcPr>
          <w:p>
            <w:pPr>
              <w:spacing w:after="60" w:before="40" w:line="240" w:lineRule="auto"/>
            </w:pPr>
            <w:r>
              <w:rPr>
                <w:rFonts w:ascii="Arial" w:hAnsi="Arial"/>
                <w:sz w:val="18"/>
              </w:rPr>
              <w:t>Julio, agosto y septiembre de 2026.</w:t>
            </w:r>
          </w:p>
        </w:tc>
      </w:tr>
      <w:tr>
        <w:trPr>
          <w:cantSplit/>
        </w:trPr>
        <w:tc>
          <w:tcPr>
            <w:tcW w:type="dxa" w:w="1247"/>
            <w:vAlign w:val="center"/>
          </w:tcPr>
          <w:p>
            <w:pPr>
              <w:spacing w:after="60" w:before="40" w:line="240" w:lineRule="auto"/>
            </w:pPr>
            <w:r>
              <w:rPr>
                <w:rFonts w:ascii="Arial" w:hAnsi="Arial"/>
                <w:sz w:val="18"/>
              </w:rPr>
              <w:t>Control</w:t>
            </w:r>
          </w:p>
        </w:tc>
        <w:tc>
          <w:tcPr>
            <w:tcW w:type="dxa" w:w="2268"/>
            <w:vAlign w:val="center"/>
          </w:tcPr>
          <w:p>
            <w:pPr>
              <w:spacing w:after="60" w:before="40" w:line="240" w:lineRule="auto"/>
            </w:pPr>
            <w:r>
              <w:rPr>
                <w:rFonts w:ascii="Arial" w:hAnsi="Arial"/>
                <w:sz w:val="18"/>
              </w:rPr>
              <w:t>Versión y datos del origen.</w:t>
            </w:r>
          </w:p>
        </w:tc>
        <w:tc>
          <w:tcPr>
            <w:tcW w:type="dxa" w:w="3005"/>
            <w:vAlign w:val="center"/>
          </w:tcPr>
          <w:p>
            <w:pPr>
              <w:spacing w:after="60" w:before="40" w:line="240" w:lineRule="auto"/>
            </w:pPr>
            <w:r>
              <w:rPr>
                <w:rFonts w:ascii="Arial" w:hAnsi="Arial"/>
                <w:sz w:val="18"/>
              </w:rPr>
              <w:t>Scripts de la versión 9726a54; origen estable.</w:t>
            </w:r>
          </w:p>
        </w:tc>
        <w:tc>
          <w:tcPr>
            <w:tcW w:type="dxa" w:w="2778"/>
            <w:vAlign w:val="center"/>
          </w:tcPr>
          <w:p>
            <w:pPr>
              <w:spacing w:after="60" w:before="40" w:line="240" w:lineRule="auto"/>
            </w:pPr>
            <w:r>
              <w:rPr>
                <w:rFonts w:ascii="Arial" w:hAnsi="Arial"/>
                <w:sz w:val="18"/>
              </w:rPr>
              <w:t>No cambiar movimientos entre las dos cargas.</w:t>
            </w:r>
          </w:p>
        </w:tc>
      </w:tr>
      <w:tr>
        <w:trPr>
          <w:cantSplit/>
        </w:trPr>
        <w:tc>
          <w:tcPr>
            <w:tcW w:type="dxa" w:w="1247"/>
            <w:vAlign w:val="center"/>
          </w:tcPr>
          <w:p>
            <w:pPr>
              <w:spacing w:after="60" w:before="40" w:line="240" w:lineRule="auto"/>
            </w:pPr>
            <w:r>
              <w:rPr>
                <w:rFonts w:ascii="Arial" w:hAnsi="Arial"/>
                <w:sz w:val="18"/>
              </w:rPr>
              <w:t>Calidad</w:t>
            </w:r>
          </w:p>
        </w:tc>
        <w:tc>
          <w:tcPr>
            <w:tcW w:type="dxa" w:w="2268"/>
            <w:vAlign w:val="center"/>
          </w:tcPr>
          <w:p>
            <w:pPr>
              <w:spacing w:after="60" w:before="40" w:line="240" w:lineRule="auto"/>
            </w:pPr>
            <w:r>
              <w:rPr>
                <w:rFonts w:ascii="Arial" w:hAnsi="Arial"/>
                <w:sz w:val="18"/>
              </w:rPr>
              <w:t>Conteos conciliados.</w:t>
            </w:r>
          </w:p>
        </w:tc>
        <w:tc>
          <w:tcPr>
            <w:tcW w:type="dxa" w:w="3005"/>
            <w:vAlign w:val="center"/>
          </w:tcPr>
          <w:p>
            <w:pPr>
              <w:spacing w:after="60" w:before="40" w:line="240" w:lineRule="auto"/>
            </w:pPr>
            <w:r>
              <w:rPr>
                <w:rFonts w:ascii="Arial" w:hAnsi="Arial"/>
                <w:sz w:val="18"/>
              </w:rPr>
              <w:t>Conteo OLTP frente a suma de las medidas del destino.</w:t>
            </w:r>
          </w:p>
        </w:tc>
        <w:tc>
          <w:tcPr>
            <w:tcW w:type="dxa" w:w="2778"/>
            <w:vAlign w:val="center"/>
          </w:tcPr>
          <w:p>
            <w:pPr>
              <w:spacing w:after="60" w:before="40" w:line="240" w:lineRule="auto"/>
            </w:pPr>
            <w:r>
              <w:rPr>
                <w:rFonts w:ascii="Arial" w:hAnsi="Arial"/>
                <w:sz w:val="18"/>
              </w:rPr>
              <w:t>Igualdad por mes para asistencia y tareas.</w:t>
            </w:r>
          </w:p>
        </w:tc>
      </w:tr>
      <w:tr>
        <w:trPr>
          <w:cantSplit/>
        </w:trPr>
        <w:tc>
          <w:tcPr>
            <w:tcW w:type="dxa" w:w="1247"/>
            <w:vAlign w:val="center"/>
          </w:tcPr>
          <w:p>
            <w:pPr>
              <w:spacing w:after="60" w:before="40" w:line="240" w:lineRule="auto"/>
            </w:pPr>
            <w:r>
              <w:rPr>
                <w:rFonts w:ascii="Arial" w:hAnsi="Arial"/>
                <w:sz w:val="18"/>
              </w:rPr>
              <w:t>Calidad</w:t>
            </w:r>
          </w:p>
        </w:tc>
        <w:tc>
          <w:tcPr>
            <w:tcW w:type="dxa" w:w="2268"/>
            <w:vAlign w:val="center"/>
          </w:tcPr>
          <w:p>
            <w:pPr>
              <w:spacing w:after="60" w:before="40" w:line="240" w:lineRule="auto"/>
            </w:pPr>
            <w:r>
              <w:rPr>
                <w:rFonts w:ascii="Arial" w:hAnsi="Arial"/>
                <w:sz w:val="18"/>
              </w:rPr>
              <w:t>Rechazos y duplicados.</w:t>
            </w:r>
          </w:p>
        </w:tc>
        <w:tc>
          <w:tcPr>
            <w:tcW w:type="dxa" w:w="3005"/>
            <w:vAlign w:val="center"/>
          </w:tcPr>
          <w:p>
            <w:pPr>
              <w:spacing w:after="60" w:before="40" w:line="240" w:lineRule="auto"/>
            </w:pPr>
            <w:r>
              <w:rPr>
                <w:rFonts w:ascii="Arial" w:hAnsi="Arial"/>
                <w:sz w:val="18"/>
              </w:rPr>
              <w:t>Bitácora y agrupación de las cuatro claves.</w:t>
            </w:r>
          </w:p>
        </w:tc>
        <w:tc>
          <w:tcPr>
            <w:tcW w:type="dxa" w:w="2778"/>
            <w:vAlign w:val="center"/>
          </w:tcPr>
          <w:p>
            <w:pPr>
              <w:spacing w:after="60" w:before="40" w:line="240" w:lineRule="auto"/>
            </w:pPr>
            <w:r>
              <w:rPr>
                <w:rFonts w:ascii="Arial" w:hAnsi="Arial"/>
                <w:sz w:val="18"/>
              </w:rPr>
              <w:t>Cero rechazos en el conjunto inicial y cero grupos duplicados.</w:t>
            </w:r>
          </w:p>
        </w:tc>
      </w:tr>
      <w:tr>
        <w:trPr>
          <w:cantSplit/>
        </w:trPr>
        <w:tc>
          <w:tcPr>
            <w:tcW w:type="dxa" w:w="1247"/>
            <w:vAlign w:val="center"/>
          </w:tcPr>
          <w:p>
            <w:pPr>
              <w:spacing w:after="60" w:before="40" w:line="240" w:lineRule="auto"/>
            </w:pPr>
            <w:r>
              <w:rPr>
                <w:rFonts w:ascii="Arial" w:hAnsi="Arial"/>
                <w:sz w:val="18"/>
              </w:rPr>
              <w:t>Repetibilidad</w:t>
            </w:r>
          </w:p>
        </w:tc>
        <w:tc>
          <w:tcPr>
            <w:tcW w:type="dxa" w:w="2268"/>
            <w:vAlign w:val="center"/>
          </w:tcPr>
          <w:p>
            <w:pPr>
              <w:spacing w:after="60" w:before="40" w:line="240" w:lineRule="auto"/>
            </w:pPr>
            <w:r>
              <w:rPr>
                <w:rFonts w:ascii="Arial" w:hAnsi="Arial"/>
                <w:sz w:val="18"/>
              </w:rPr>
              <w:t>Diferencia entre cargas.</w:t>
            </w:r>
          </w:p>
        </w:tc>
        <w:tc>
          <w:tcPr>
            <w:tcW w:type="dxa" w:w="3005"/>
            <w:vAlign w:val="center"/>
          </w:tcPr>
          <w:p>
            <w:pPr>
              <w:spacing w:after="60" w:before="40" w:line="240" w:lineRule="auto"/>
            </w:pPr>
            <w:r>
              <w:rPr>
                <w:rFonts w:ascii="Arial" w:hAnsi="Arial"/>
                <w:sz w:val="18"/>
              </w:rPr>
              <w:t>EXCEPT en ambos sentidos sobre vw_rendimiento_kpis.</w:t>
            </w:r>
          </w:p>
        </w:tc>
        <w:tc>
          <w:tcPr>
            <w:tcW w:type="dxa" w:w="2778"/>
            <w:vAlign w:val="center"/>
          </w:tcPr>
          <w:p>
            <w:pPr>
              <w:spacing w:after="60" w:before="40" w:line="240" w:lineRule="auto"/>
            </w:pPr>
            <w:r>
              <w:rPr>
                <w:rFonts w:ascii="Arial" w:hAnsi="Arial"/>
                <w:sz w:val="18"/>
              </w:rPr>
              <w:t>Sin diferencias de claves y medidas.</w:t>
            </w:r>
          </w:p>
        </w:tc>
      </w:tr>
      <w:tr>
        <w:trPr>
          <w:cantSplit/>
        </w:trPr>
        <w:tc>
          <w:tcPr>
            <w:tcW w:type="dxa" w:w="1247"/>
            <w:vAlign w:val="center"/>
          </w:tcPr>
          <w:p>
            <w:pPr>
              <w:spacing w:after="60" w:before="40" w:line="240" w:lineRule="auto"/>
            </w:pPr>
            <w:r>
              <w:rPr>
                <w:rFonts w:ascii="Arial" w:hAnsi="Arial"/>
                <w:sz w:val="18"/>
              </w:rPr>
              <w:t>Negocio</w:t>
            </w:r>
          </w:p>
        </w:tc>
        <w:tc>
          <w:tcPr>
            <w:tcW w:type="dxa" w:w="2268"/>
            <w:vAlign w:val="center"/>
          </w:tcPr>
          <w:p>
            <w:pPr>
              <w:spacing w:after="60" w:before="40" w:line="240" w:lineRule="auto"/>
            </w:pPr>
            <w:r>
              <w:rPr>
                <w:rFonts w:ascii="Arial" w:hAnsi="Arial"/>
                <w:sz w:val="18"/>
              </w:rPr>
              <w:t>TPA, ICT, TDT e IEP.</w:t>
            </w:r>
          </w:p>
        </w:tc>
        <w:tc>
          <w:tcPr>
            <w:tcW w:type="dxa" w:w="3005"/>
            <w:vAlign w:val="center"/>
          </w:tcPr>
          <w:p>
            <w:pPr>
              <w:spacing w:after="60" w:before="40" w:line="240" w:lineRule="auto"/>
            </w:pPr>
            <w:r>
              <w:rPr>
                <w:rFonts w:ascii="Arial" w:hAnsi="Arial"/>
                <w:sz w:val="18"/>
              </w:rPr>
              <w:t>Vistas y DAX; agregación de cantidades.</w:t>
            </w:r>
          </w:p>
        </w:tc>
        <w:tc>
          <w:tcPr>
            <w:tcW w:type="dxa" w:w="2778"/>
            <w:vAlign w:val="center"/>
          </w:tcPr>
          <w:p>
            <w:pPr>
              <w:spacing w:after="60" w:before="40" w:line="240" w:lineRule="auto"/>
            </w:pPr>
            <w:r>
              <w:rPr>
                <w:rFonts w:ascii="Arial" w:hAnsi="Arial"/>
                <w:sz w:val="18"/>
              </w:rPr>
              <w:t>Reglas del apartado 3.4.1 y valores de referencia de E-07.</w:t>
            </w:r>
          </w:p>
        </w:tc>
      </w:tr>
    </w:tbl>
    <w:p>
      <w:r>
        <w:rPr>
          <w:b w:val="0"/>
        </w:rPr>
      </w:r>
    </w:p>
    <w:p>
      <w:bookmarkStart w:id="40" w:name="seccion_40"/>
      <w:pPr>
        <w:pStyle w:val="Heading2"/>
      </w:pPr>
      <w:r>
        <w:t>4.4 Entorno, herramientas y reproducibilidad</w:t>
      </w:r>
      <w:bookmarkEnd w:id="40"/>
    </w:p>
    <w:p>
      <w:r>
        <w:rPr>
          <w:b w:val="0"/>
        </w:rPr>
        <w:t>Las pruebas de SQL publicadas se realizaron en una instancia aislada de SQL Server 2022 Developer, según E-02. Las capturas del equipo proceden de SSMS y Power BI Desktop. El informe distingue estas evidencias de una nueva ejecución: durante la revisión documental no se realizó una conexión en vivo con Power BI.</w:t>
      </w:r>
    </w:p>
    <w:p>
      <w:r>
        <w:rPr>
          <w:b w:val="0"/>
        </w:rPr>
        <w:t>La versión de referencia del código y los artefactos es 9726a5470b3ab6cd333edc21e1015d04da9598b3. El conjunto de parámetros y el orden de ejecución están publicados. No se fija compatibilidad 170 ni se atribuye esa compatibilidad a SQL Server 2022. Para identificar la instancia utilizada en clase puede consultarse:</w:t>
      </w:r>
    </w:p>
    <w:tbl>
      <w:tblPr>
        <w:tblStyle w:val="TableGrid"/>
        <w:tblW w:type="auto" w:w="0"/>
        <w:tblLook w:firstColumn="1" w:firstRow="1" w:lastColumn="0" w:lastRow="0" w:noHBand="0" w:noVBand="1" w:val="04A0"/>
      </w:tblPr>
      <w:tblGrid>
        <w:gridCol w:w="9411"/>
      </w:tblGrid>
      <w:tr>
        <w:trPr>
          <w:cantSplit/>
        </w:trPr>
        <w:tc>
          <w:tcPr>
            <w:tcW w:type="dxa" w:w="9411"/>
            <w:shd w:fill="F4F6F8"/>
          </w:tcPr>
          <w:p>
            <w:pPr>
              <w:spacing w:after="20" w:line="240" w:lineRule="auto"/>
            </w:pPr>
            <w:r>
              <w:rPr>
                <w:rFonts w:ascii="Consolas" w:hAnsi="Consolas"/>
                <w:sz w:val="17"/>
              </w:rPr>
              <w:t>SELECT SERVERPROPERTY('ProductVersion') AS version_sql,</w:t>
              <w:br/>
              <w:t xml:space="preserve">       SERVERPROPERTY('Edition') AS edicion_sql;</w:t>
              <w:br/>
              <w:t>SELECT name, compatibility_level</w:t>
              <w:br/>
              <w:t>FROM sys.databases</w:t>
              <w:br/>
              <w:t>WHERE name IN (N'A&amp;SG_OLTP', N'A&amp;SG_DataMart');</w:t>
            </w:r>
          </w:p>
        </w:tc>
      </w:tr>
    </w:tbl>
    <w:p>
      <w:r>
        <w:rPr>
          <w:b w:val="0"/>
        </w:rPr>
      </w:r>
    </w:p>
    <w:p>
      <w:r>
        <w:rPr>
          <w:b w:val="0"/>
        </w:rPr>
        <w:t>No se registraron hardware, concurrencia, caché ni métricas de CPU con precisión suficiente para una comparación de rendimiento. Por ello, los criterios de este experimento se basan en integridad y repetibilidad; el registro de duración a segundos no se utiliza como un benchmark.</w:t>
      </w:r>
    </w:p>
    <w:p>
      <w:bookmarkStart w:id="41" w:name="seccion_41"/>
      <w:pPr>
        <w:pStyle w:val="Heading2"/>
      </w:pPr>
      <w:r>
        <w:t>4.5 Matriz de escenarios experimentales</w:t>
      </w:r>
      <w:bookmarkEnd w:id="41"/>
    </w:p>
    <w:p>
      <w:pPr>
        <w:pStyle w:val="Caption"/>
      </w:pPr>
      <w:r>
        <w:rPr>
          <w:b w:val="0"/>
        </w:rPr>
        <w:t>Tabla 8. Escenarios de validación BI</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964"/>
            <w:shd w:fill="E7EFF5"/>
            <w:vAlign w:val="center"/>
          </w:tcPr>
          <w:p>
            <w:pPr>
              <w:spacing w:after="60" w:before="40" w:line="240" w:lineRule="auto"/>
            </w:pPr>
            <w:r>
              <w:rPr>
                <w:rFonts w:ascii="Arial" w:hAnsi="Arial"/>
                <w:b/>
                <w:sz w:val="18"/>
              </w:rPr>
              <w:t>ID</w:t>
            </w:r>
          </w:p>
        </w:tc>
        <w:tc>
          <w:tcPr>
            <w:tcW w:type="dxa" w:w="2324"/>
            <w:shd w:fill="E7EFF5"/>
            <w:vAlign w:val="center"/>
          </w:tcPr>
          <w:p>
            <w:pPr>
              <w:spacing w:after="60" w:before="40" w:line="240" w:lineRule="auto"/>
            </w:pPr>
            <w:r>
              <w:rPr>
                <w:rFonts w:ascii="Arial" w:hAnsi="Arial"/>
                <w:b/>
                <w:sz w:val="18"/>
              </w:rPr>
              <w:t>ESCENARIO</w:t>
            </w:r>
          </w:p>
        </w:tc>
        <w:tc>
          <w:tcPr>
            <w:tcW w:type="dxa" w:w="2381"/>
            <w:shd w:fill="E7EFF5"/>
            <w:vAlign w:val="center"/>
          </w:tcPr>
          <w:p>
            <w:pPr>
              <w:spacing w:after="60" w:before="40" w:line="240" w:lineRule="auto"/>
            </w:pPr>
            <w:r>
              <w:rPr>
                <w:rFonts w:ascii="Arial" w:hAnsi="Arial"/>
                <w:b/>
                <w:sz w:val="18"/>
              </w:rPr>
              <w:t>DATOS</w:t>
            </w:r>
          </w:p>
        </w:tc>
        <w:tc>
          <w:tcPr>
            <w:tcW w:type="dxa" w:w="2438"/>
            <w:shd w:fill="E7EFF5"/>
            <w:vAlign w:val="center"/>
          </w:tcPr>
          <w:p>
            <w:pPr>
              <w:spacing w:after="60" w:before="40" w:line="240" w:lineRule="auto"/>
            </w:pPr>
            <w:r>
              <w:rPr>
                <w:rFonts w:ascii="Arial" w:hAnsi="Arial"/>
                <w:b/>
                <w:sz w:val="18"/>
              </w:rPr>
              <w:t>RESULTADO ESPERADO</w:t>
            </w:r>
          </w:p>
        </w:tc>
        <w:tc>
          <w:tcPr>
            <w:tcW w:type="dxa" w:w="1191"/>
            <w:shd w:fill="E7EFF5"/>
            <w:vAlign w:val="center"/>
          </w:tcPr>
          <w:p>
            <w:pPr>
              <w:spacing w:after="60" w:before="40" w:line="240" w:lineRule="auto"/>
            </w:pPr>
            <w:r>
              <w:rPr>
                <w:rFonts w:ascii="Arial" w:hAnsi="Arial"/>
                <w:b/>
                <w:sz w:val="18"/>
              </w:rPr>
              <w:t>EVIDENCIA</w:t>
            </w:r>
          </w:p>
        </w:tc>
      </w:tr>
      <w:tr>
        <w:trPr>
          <w:cantSplit/>
        </w:trPr>
        <w:tc>
          <w:tcPr>
            <w:tcW w:type="dxa" w:w="964"/>
            <w:vAlign w:val="center"/>
          </w:tcPr>
          <w:p>
            <w:pPr>
              <w:spacing w:after="60" w:before="40" w:line="240" w:lineRule="auto"/>
            </w:pPr>
            <w:r>
              <w:rPr>
                <w:rFonts w:ascii="Arial" w:hAnsi="Arial"/>
                <w:sz w:val="18"/>
              </w:rPr>
              <w:t>EXP-01</w:t>
            </w:r>
          </w:p>
        </w:tc>
        <w:tc>
          <w:tcPr>
            <w:tcW w:type="dxa" w:w="2324"/>
            <w:vAlign w:val="center"/>
          </w:tcPr>
          <w:p>
            <w:pPr>
              <w:spacing w:after="60" w:before="40" w:line="240" w:lineRule="auto"/>
            </w:pPr>
            <w:r>
              <w:rPr>
                <w:rFonts w:ascii="Arial" w:hAnsi="Arial"/>
                <w:sz w:val="18"/>
              </w:rPr>
              <w:t>Conciliación de julio.</w:t>
            </w:r>
          </w:p>
        </w:tc>
        <w:tc>
          <w:tcPr>
            <w:tcW w:type="dxa" w:w="2381"/>
            <w:vAlign w:val="center"/>
          </w:tcPr>
          <w:p>
            <w:pPr>
              <w:spacing w:after="60" w:before="40" w:line="240" w:lineRule="auto"/>
            </w:pPr>
            <w:r>
              <w:rPr>
                <w:rFonts w:ascii="Arial" w:hAnsi="Arial"/>
                <w:sz w:val="18"/>
              </w:rPr>
              <w:t>203 asistencias y 203 tareas.</w:t>
            </w:r>
          </w:p>
        </w:tc>
        <w:tc>
          <w:tcPr>
            <w:tcW w:type="dxa" w:w="2438"/>
            <w:vAlign w:val="center"/>
          </w:tcPr>
          <w:p>
            <w:pPr>
              <w:spacing w:after="60" w:before="40" w:line="240" w:lineRule="auto"/>
            </w:pPr>
            <w:r>
              <w:rPr>
                <w:rFonts w:ascii="Arial" w:hAnsi="Arial"/>
                <w:sz w:val="18"/>
              </w:rPr>
              <w:t>Mismas cantidades en OLTP y Data Mart.</w:t>
            </w:r>
          </w:p>
        </w:tc>
        <w:tc>
          <w:tcPr>
            <w:tcW w:type="dxa" w:w="1191"/>
            <w:vAlign w:val="center"/>
          </w:tcPr>
          <w:p>
            <w:pPr>
              <w:spacing w:after="60" w:before="40" w:line="240" w:lineRule="auto"/>
            </w:pPr>
            <w:r>
              <w:rPr>
                <w:rFonts w:ascii="Arial" w:hAnsi="Arial"/>
                <w:sz w:val="18"/>
              </w:rPr>
              <w:t>E-02 / E-10</w:t>
            </w:r>
          </w:p>
        </w:tc>
      </w:tr>
      <w:tr>
        <w:trPr>
          <w:cantSplit/>
        </w:trPr>
        <w:tc>
          <w:tcPr>
            <w:tcW w:type="dxa" w:w="964"/>
            <w:vAlign w:val="center"/>
          </w:tcPr>
          <w:p>
            <w:pPr>
              <w:spacing w:after="60" w:before="40" w:line="240" w:lineRule="auto"/>
            </w:pPr>
            <w:r>
              <w:rPr>
                <w:rFonts w:ascii="Arial" w:hAnsi="Arial"/>
                <w:sz w:val="18"/>
              </w:rPr>
              <w:t>EXP-02</w:t>
            </w:r>
          </w:p>
        </w:tc>
        <w:tc>
          <w:tcPr>
            <w:tcW w:type="dxa" w:w="2324"/>
            <w:vAlign w:val="center"/>
          </w:tcPr>
          <w:p>
            <w:pPr>
              <w:spacing w:after="60" w:before="40" w:line="240" w:lineRule="auto"/>
            </w:pPr>
            <w:r>
              <w:rPr>
                <w:rFonts w:ascii="Arial" w:hAnsi="Arial"/>
                <w:sz w:val="18"/>
              </w:rPr>
              <w:t>Conciliación de agosto.</w:t>
            </w:r>
          </w:p>
        </w:tc>
        <w:tc>
          <w:tcPr>
            <w:tcW w:type="dxa" w:w="2381"/>
            <w:vAlign w:val="center"/>
          </w:tcPr>
          <w:p>
            <w:pPr>
              <w:spacing w:after="60" w:before="40" w:line="240" w:lineRule="auto"/>
            </w:pPr>
            <w:r>
              <w:rPr>
                <w:rFonts w:ascii="Arial" w:hAnsi="Arial"/>
                <w:sz w:val="18"/>
              </w:rPr>
              <w:t>186 asistencias y 186 tareas.</w:t>
            </w:r>
          </w:p>
        </w:tc>
        <w:tc>
          <w:tcPr>
            <w:tcW w:type="dxa" w:w="2438"/>
            <w:vAlign w:val="center"/>
          </w:tcPr>
          <w:p>
            <w:pPr>
              <w:spacing w:after="60" w:before="40" w:line="240" w:lineRule="auto"/>
            </w:pPr>
            <w:r>
              <w:rPr>
                <w:rFonts w:ascii="Arial" w:hAnsi="Arial"/>
                <w:sz w:val="18"/>
              </w:rPr>
              <w:t>Mismas cantidades en OLTP y Data Mart.</w:t>
            </w:r>
          </w:p>
        </w:tc>
        <w:tc>
          <w:tcPr>
            <w:tcW w:type="dxa" w:w="1191"/>
            <w:vAlign w:val="center"/>
          </w:tcPr>
          <w:p>
            <w:pPr>
              <w:spacing w:after="60" w:before="40" w:line="240" w:lineRule="auto"/>
            </w:pPr>
            <w:r>
              <w:rPr>
                <w:rFonts w:ascii="Arial" w:hAnsi="Arial"/>
                <w:sz w:val="18"/>
              </w:rPr>
              <w:t>E-02 / E-10</w:t>
            </w:r>
          </w:p>
        </w:tc>
      </w:tr>
      <w:tr>
        <w:trPr>
          <w:cantSplit/>
        </w:trPr>
        <w:tc>
          <w:tcPr>
            <w:tcW w:type="dxa" w:w="964"/>
            <w:vAlign w:val="center"/>
          </w:tcPr>
          <w:p>
            <w:pPr>
              <w:spacing w:after="60" w:before="40" w:line="240" w:lineRule="auto"/>
            </w:pPr>
            <w:r>
              <w:rPr>
                <w:rFonts w:ascii="Arial" w:hAnsi="Arial"/>
                <w:sz w:val="18"/>
              </w:rPr>
              <w:t>EXP-03</w:t>
            </w:r>
          </w:p>
        </w:tc>
        <w:tc>
          <w:tcPr>
            <w:tcW w:type="dxa" w:w="2324"/>
            <w:vAlign w:val="center"/>
          </w:tcPr>
          <w:p>
            <w:pPr>
              <w:spacing w:after="60" w:before="40" w:line="240" w:lineRule="auto"/>
            </w:pPr>
            <w:r>
              <w:rPr>
                <w:rFonts w:ascii="Arial" w:hAnsi="Arial"/>
                <w:sz w:val="18"/>
              </w:rPr>
              <w:t>Conciliación de septiembre.</w:t>
            </w:r>
          </w:p>
        </w:tc>
        <w:tc>
          <w:tcPr>
            <w:tcW w:type="dxa" w:w="2381"/>
            <w:vAlign w:val="center"/>
          </w:tcPr>
          <w:p>
            <w:pPr>
              <w:spacing w:after="60" w:before="40" w:line="240" w:lineRule="auto"/>
            </w:pPr>
            <w:r>
              <w:rPr>
                <w:rFonts w:ascii="Arial" w:hAnsi="Arial"/>
                <w:sz w:val="18"/>
              </w:rPr>
              <w:t>193 asistencias y 193 tareas.</w:t>
            </w:r>
          </w:p>
        </w:tc>
        <w:tc>
          <w:tcPr>
            <w:tcW w:type="dxa" w:w="2438"/>
            <w:vAlign w:val="center"/>
          </w:tcPr>
          <w:p>
            <w:pPr>
              <w:spacing w:after="60" w:before="40" w:line="240" w:lineRule="auto"/>
            </w:pPr>
            <w:r>
              <w:rPr>
                <w:rFonts w:ascii="Arial" w:hAnsi="Arial"/>
                <w:sz w:val="18"/>
              </w:rPr>
              <w:t>Mismas cantidades en OLTP y Data Mart.</w:t>
            </w:r>
          </w:p>
        </w:tc>
        <w:tc>
          <w:tcPr>
            <w:tcW w:type="dxa" w:w="1191"/>
            <w:vAlign w:val="center"/>
          </w:tcPr>
          <w:p>
            <w:pPr>
              <w:spacing w:after="60" w:before="40" w:line="240" w:lineRule="auto"/>
            </w:pPr>
            <w:r>
              <w:rPr>
                <w:rFonts w:ascii="Arial" w:hAnsi="Arial"/>
                <w:sz w:val="18"/>
              </w:rPr>
              <w:t>E-02 / E-10</w:t>
            </w:r>
          </w:p>
        </w:tc>
      </w:tr>
      <w:tr>
        <w:trPr>
          <w:cantSplit/>
        </w:trPr>
        <w:tc>
          <w:tcPr>
            <w:tcW w:type="dxa" w:w="964"/>
            <w:vAlign w:val="center"/>
          </w:tcPr>
          <w:p>
            <w:pPr>
              <w:spacing w:after="60" w:before="40" w:line="240" w:lineRule="auto"/>
            </w:pPr>
            <w:r>
              <w:rPr>
                <w:rFonts w:ascii="Arial" w:hAnsi="Arial"/>
                <w:sz w:val="18"/>
              </w:rPr>
              <w:t>EXP-04</w:t>
            </w:r>
          </w:p>
        </w:tc>
        <w:tc>
          <w:tcPr>
            <w:tcW w:type="dxa" w:w="2324"/>
            <w:vAlign w:val="center"/>
          </w:tcPr>
          <w:p>
            <w:pPr>
              <w:spacing w:after="60" w:before="40" w:line="240" w:lineRule="auto"/>
            </w:pPr>
            <w:r>
              <w:rPr>
                <w:rFonts w:ascii="Arial" w:hAnsi="Arial"/>
                <w:sz w:val="18"/>
              </w:rPr>
              <w:t>Repetición del trimestre.</w:t>
            </w:r>
          </w:p>
        </w:tc>
        <w:tc>
          <w:tcPr>
            <w:tcW w:type="dxa" w:w="2381"/>
            <w:vAlign w:val="center"/>
          </w:tcPr>
          <w:p>
            <w:pPr>
              <w:spacing w:after="60" w:before="40" w:line="240" w:lineRule="auto"/>
            </w:pPr>
            <w:r>
              <w:rPr>
                <w:rFonts w:ascii="Arial" w:hAnsi="Arial"/>
                <w:sz w:val="18"/>
              </w:rPr>
              <w:t>Dos cargas del mismo origen y período.</w:t>
            </w:r>
          </w:p>
        </w:tc>
        <w:tc>
          <w:tcPr>
            <w:tcW w:type="dxa" w:w="2438"/>
            <w:vAlign w:val="center"/>
          </w:tcPr>
          <w:p>
            <w:pPr>
              <w:spacing w:after="60" w:before="40" w:line="240" w:lineRule="auto"/>
            </w:pPr>
            <w:r>
              <w:rPr>
                <w:rFonts w:ascii="Arial" w:hAnsi="Arial"/>
                <w:sz w:val="18"/>
              </w:rPr>
              <w:t>Mismas medidas y ausencia de duplicados.</w:t>
            </w:r>
          </w:p>
        </w:tc>
        <w:tc>
          <w:tcPr>
            <w:tcW w:type="dxa" w:w="1191"/>
            <w:vAlign w:val="center"/>
          </w:tcPr>
          <w:p>
            <w:pPr>
              <w:spacing w:after="60" w:before="40" w:line="240" w:lineRule="auto"/>
            </w:pPr>
            <w:r>
              <w:rPr>
                <w:rFonts w:ascii="Arial" w:hAnsi="Arial"/>
                <w:sz w:val="18"/>
              </w:rPr>
              <w:t>E-09 / E-10</w:t>
            </w:r>
          </w:p>
        </w:tc>
      </w:tr>
    </w:tbl>
    <w:p>
      <w:r>
        <w:rPr>
          <w:b w:val="0"/>
        </w:rPr>
      </w:r>
    </w:p>
    <w:p>
      <w:r>
        <w:rPr>
          <w:b w:val="0"/>
        </w:rPr>
        <w:t>Los tres primeros escenarios son particiones mensuales de una validación de calidad. No constituyen tres configuraciones de hardware ni tres niveles de carga para medir escalabilidad. EXP-04 evalúa repetibilidad funcional, no variabilidad estadística de tiempos.</w:t>
      </w:r>
    </w:p>
    <w:p>
      <w:bookmarkStart w:id="42" w:name="seccion_42"/>
      <w:pPr>
        <w:pStyle w:val="Heading2"/>
      </w:pPr>
      <w:r>
        <w:t>4.6 Procedimiento reproducible</w:t>
      </w:r>
      <w:bookmarkEnd w:id="42"/>
    </w:p>
    <w:p>
      <w:pPr>
        <w:ind w:left="312" w:hanging="312"/>
      </w:pPr>
      <w:r>
        <w:rPr>
          <w:b w:val="0"/>
        </w:rPr>
        <w:t>1. Descargar la versión de referencia del repositorio y ejecutar el orden indicado en 3.7.</w:t>
      </w:r>
    </w:p>
    <w:p>
      <w:pPr>
        <w:ind w:left="312" w:hanging="312"/>
      </w:pPr>
      <w:r>
        <w:rPr>
          <w:b w:val="0"/>
        </w:rPr>
        <w:t>2. Mantener el origen sin cambios mientras se ejecuta 01_Validacion_ETL.sql.</w:t>
      </w:r>
    </w:p>
    <w:p>
      <w:pPr>
        <w:ind w:left="312" w:hanging="312"/>
      </w:pPr>
      <w:r>
        <w:rPr>
          <w:b w:val="0"/>
        </w:rPr>
        <w:t>3. El script carga el trimestre, copia la vista de hechos a una tabla temporal y vuelve a ejecutar el mismo intervalo.</w:t>
      </w:r>
    </w:p>
    <w:p>
      <w:pPr>
        <w:ind w:left="312" w:hanging="312"/>
      </w:pPr>
      <w:r>
        <w:rPr>
          <w:b w:val="0"/>
        </w:rPr>
        <w:t>4. Comparar ambos resultados mediante EXCEPT en los dos sentidos. El script genera un error si cambian claves o medidas.</w:t>
      </w:r>
    </w:p>
    <w:p>
      <w:pPr>
        <w:ind w:left="312" w:hanging="312"/>
      </w:pPr>
      <w:r>
        <w:rPr>
          <w:b w:val="0"/>
        </w:rPr>
        <w:t>5. Revisar el padrón, los grupos duplicados, la conciliación mensual y las dos últimas entradas de bitácora.</w:t>
      </w:r>
    </w:p>
    <w:p>
      <w:pPr>
        <w:ind w:left="312" w:hanging="312"/>
      </w:pPr>
      <w:r>
        <w:rPr>
          <w:b w:val="0"/>
        </w:rPr>
        <w:t>6. Contrastar los indicadores mensuales en SSMS y los totales sin filtros en Power BI. Conservar las capturas y la salida de consultas junto al período y versión.</w:t>
      </w:r>
    </w:p>
    <w:p>
      <w:bookmarkStart w:id="43" w:name="seccion_43"/>
      <w:pPr>
        <w:pStyle w:val="Heading2"/>
      </w:pPr>
      <w:r>
        <w:t>4.7 Riesgos, validez y limitaciones del experimento</w:t>
      </w:r>
      <w:bookmarkEnd w:id="43"/>
    </w:p>
    <w:p>
      <w:r>
        <w:rPr>
          <w:b w:val="0"/>
        </w:rPr>
        <w:t>Los datos simulados siguen patrones definidos de antemano. Que Benjamin tenga el mayor IEP demuestra que el cálculo refleja esas reglas, no que sea el trabajador más productivo en una situación real. Las jornadas tampoco consideran feriados, licencias, altas o bajas contractuales.</w:t>
      </w:r>
    </w:p>
    <w:p>
      <w:r>
        <w:rPr>
          <w:b w:val="0"/>
        </w:rPr>
        <w:t>La evidencia de cero rechazos describe el conjunto inicial; no prueba que todos los posibles errores estén cubiertos. Las capturas muestran un momento de la ejecución y los archivos PBIX necesitan SQL Server disponible para actualizarse. La prueba de repetición compara claves y medidas de negocio, no la permanencia de los identificadores técnicos regenerados.</w:t>
      </w:r>
    </w:p>
    <w:p>
      <w:r>
        <w:rPr>
          <w:b w:val="0"/>
        </w:rPr>
        <w:t>No se midieron latencia comparativa frente a MySQL, throughput, CPU, RAM ni escalabilidad. La bitácora utiliza precisión de segundos; una duración registrada como cero significa una resolución insuficiente para ese intervalo, no ejecución instantánea. No se extraen conclusiones de ahorro de recursos a partir de ese valor.</w:t>
      </w:r>
    </w:p>
    <w:p>
      <w:bookmarkStart w:id="44" w:name="seccion_44"/>
      <w:pPr>
        <w:pStyle w:val="Heading1"/>
      </w:pPr>
      <w:r>
        <w:t>CAPÍTULO V: IMPLEMENTACIÓN Y CONTROL DE EVIDENCIAS</w:t>
      </w:r>
      <w:bookmarkEnd w:id="44"/>
    </w:p>
    <w:p>
      <w:bookmarkStart w:id="45" w:name="seccion_45"/>
      <w:pPr>
        <w:pStyle w:val="Heading2"/>
      </w:pPr>
      <w:r>
        <w:t>5.1 Estructura y versión del repositorio</w:t>
      </w:r>
      <w:bookmarkEnd w:id="45"/>
    </w:p>
    <w:p>
      <w:r>
        <w:rPr>
          <w:b w:val="0"/>
        </w:rPr>
      </w:r>
      <w:hyperlink r:id="rId12">
        <w:r>
          <w:rPr>
            <w:color w:val="0563C1"/>
            <w:u w:val="single"/>
          </w:rPr>
          <w:t>https://github.com/b-alfonso/Sistema_Remuneraciones_Reportes</w:t>
        </w:r>
      </w:hyperlink>
    </w:p>
    <w:p>
      <w:r>
        <w:rPr>
          <w:b w:val="0"/>
        </w:rPr>
        <w:t>Versión del código y artefactos revisados: 9726a5470b3ab6cd333edc21e1015d04da9598b3 (22 de octubre de 2026). Revisión del informe: 23 de octubre de 2026. Los enlaces de evidencia utilizan este identificador completo para que futuras modificaciones de main no cambien el contenido citado.</w:t>
      </w:r>
    </w:p>
    <w:p>
      <w:pPr>
        <w:pStyle w:val="Caption"/>
      </w:pPr>
      <w:r>
        <w:rPr>
          <w:b w:val="0"/>
        </w:rPr>
        <w:t>Tabla 9. Organización del repositorio</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835"/>
            <w:shd w:fill="E7EFF5"/>
            <w:vAlign w:val="center"/>
          </w:tcPr>
          <w:p>
            <w:pPr>
              <w:spacing w:after="60" w:before="40" w:line="240" w:lineRule="auto"/>
            </w:pPr>
            <w:r>
              <w:rPr>
                <w:rFonts w:ascii="Arial" w:hAnsi="Arial"/>
                <w:b/>
                <w:sz w:val="18"/>
              </w:rPr>
              <w:t>CARPETA</w:t>
            </w:r>
          </w:p>
        </w:tc>
        <w:tc>
          <w:tcPr>
            <w:tcW w:type="dxa" w:w="6463"/>
            <w:shd w:fill="E7EFF5"/>
            <w:vAlign w:val="center"/>
          </w:tcPr>
          <w:p>
            <w:pPr>
              <w:spacing w:after="60" w:before="40" w:line="240" w:lineRule="auto"/>
            </w:pPr>
            <w:r>
              <w:rPr>
                <w:rFonts w:ascii="Arial" w:hAnsi="Arial"/>
                <w:b/>
                <w:sz w:val="18"/>
              </w:rPr>
              <w:t>CONTENIDO</w:t>
            </w:r>
          </w:p>
        </w:tc>
      </w:tr>
      <w:tr>
        <w:trPr>
          <w:cantSplit/>
        </w:trPr>
        <w:tc>
          <w:tcPr>
            <w:tcW w:type="dxa" w:w="2835"/>
            <w:vAlign w:val="center"/>
          </w:tcPr>
          <w:p>
            <w:pPr>
              <w:spacing w:after="60" w:before="40" w:line="240" w:lineRule="auto"/>
            </w:pPr>
            <w:r>
              <w:rPr>
                <w:rFonts w:ascii="Arial" w:hAnsi="Arial"/>
                <w:sz w:val="18"/>
              </w:rPr>
              <w:t>01_Base_Datos</w:t>
            </w:r>
          </w:p>
        </w:tc>
        <w:tc>
          <w:tcPr>
            <w:tcW w:type="dxa" w:w="6463"/>
            <w:vAlign w:val="center"/>
          </w:tcPr>
          <w:p>
            <w:pPr>
              <w:spacing w:after="60" w:before="40" w:line="240" w:lineRule="auto"/>
            </w:pPr>
            <w:r>
              <w:rPr>
                <w:rFonts w:ascii="Arial" w:hAnsi="Arial"/>
                <w:sz w:val="18"/>
              </w:rPr>
              <w:t>Origen, creación del Data Mart y alineación para instalaciones anteriores.</w:t>
            </w:r>
          </w:p>
        </w:tc>
      </w:tr>
      <w:tr>
        <w:trPr>
          <w:cantSplit/>
        </w:trPr>
        <w:tc>
          <w:tcPr>
            <w:tcW w:type="dxa" w:w="2835"/>
            <w:vAlign w:val="center"/>
          </w:tcPr>
          <w:p>
            <w:pPr>
              <w:spacing w:after="60" w:before="40" w:line="240" w:lineRule="auto"/>
            </w:pPr>
            <w:r>
              <w:rPr>
                <w:rFonts w:ascii="Arial" w:hAnsi="Arial"/>
                <w:sz w:val="18"/>
              </w:rPr>
              <w:t>02_Procedimientos_Almacenados</w:t>
            </w:r>
          </w:p>
        </w:tc>
        <w:tc>
          <w:tcPr>
            <w:tcW w:type="dxa" w:w="6463"/>
            <w:vAlign w:val="center"/>
          </w:tcPr>
          <w:p>
            <w:pPr>
              <w:spacing w:after="60" w:before="40" w:line="240" w:lineRule="auto"/>
            </w:pPr>
            <w:r>
              <w:rPr>
                <w:rFonts w:ascii="Arial" w:hAnsi="Arial"/>
                <w:sz w:val="18"/>
              </w:rPr>
              <w:t>Procedimiento ETL y vistas SQL.</w:t>
            </w:r>
          </w:p>
        </w:tc>
      </w:tr>
      <w:tr>
        <w:trPr>
          <w:cantSplit/>
        </w:trPr>
        <w:tc>
          <w:tcPr>
            <w:tcW w:type="dxa" w:w="2835"/>
            <w:vAlign w:val="center"/>
          </w:tcPr>
          <w:p>
            <w:pPr>
              <w:spacing w:after="60" w:before="40" w:line="240" w:lineRule="auto"/>
            </w:pPr>
            <w:r>
              <w:rPr>
                <w:rFonts w:ascii="Arial" w:hAnsi="Arial"/>
                <w:sz w:val="18"/>
              </w:rPr>
              <w:t>03_Vistas_PowerBI</w:t>
            </w:r>
          </w:p>
        </w:tc>
        <w:tc>
          <w:tcPr>
            <w:tcW w:type="dxa" w:w="6463"/>
            <w:vAlign w:val="center"/>
          </w:tcPr>
          <w:p>
            <w:pPr>
              <w:spacing w:after="60" w:before="40" w:line="240" w:lineRule="auto"/>
            </w:pPr>
            <w:r>
              <w:rPr>
                <w:rFonts w:ascii="Arial" w:hAnsi="Arial"/>
                <w:sz w:val="18"/>
              </w:rPr>
              <w:t>Archivo principal de Power BI, copia publicada del reporte y captura de relaciones.</w:t>
            </w:r>
          </w:p>
        </w:tc>
      </w:tr>
      <w:tr>
        <w:trPr>
          <w:cantSplit/>
        </w:trPr>
        <w:tc>
          <w:tcPr>
            <w:tcW w:type="dxa" w:w="2835"/>
            <w:vAlign w:val="center"/>
          </w:tcPr>
          <w:p>
            <w:pPr>
              <w:spacing w:after="60" w:before="40" w:line="240" w:lineRule="auto"/>
            </w:pPr>
            <w:r>
              <w:rPr>
                <w:rFonts w:ascii="Arial" w:hAnsi="Arial"/>
                <w:sz w:val="18"/>
              </w:rPr>
              <w:t>04_Documentacion</w:t>
            </w:r>
          </w:p>
        </w:tc>
        <w:tc>
          <w:tcPr>
            <w:tcW w:type="dxa" w:w="6463"/>
            <w:vAlign w:val="center"/>
          </w:tcPr>
          <w:p>
            <w:pPr>
              <w:spacing w:after="60" w:before="40" w:line="240" w:lineRule="auto"/>
            </w:pPr>
            <w:r>
              <w:rPr>
                <w:rFonts w:ascii="Arial" w:hAnsi="Arial"/>
                <w:sz w:val="18"/>
              </w:rPr>
              <w:t>Guías, reglas, DAX, validación y evidencias.</w:t>
            </w:r>
          </w:p>
        </w:tc>
      </w:tr>
    </w:tbl>
    <w:p>
      <w:r>
        <w:rPr>
          <w:b w:val="0"/>
        </w:rPr>
      </w:r>
    </w:p>
    <w:p>
      <w:bookmarkStart w:id="46" w:name="seccion_46"/>
      <w:pPr>
        <w:pStyle w:val="Heading2"/>
      </w:pPr>
      <w:r>
        <w:t>5.2 Implementación de la solución BI</w:t>
      </w:r>
      <w:bookmarkEnd w:id="46"/>
    </w:p>
    <w:p>
      <w:r>
        <w:rPr>
          <w:b w:val="0"/>
        </w:rPr>
        <w:t>El DDL crea A&amp;SG_DataMart con cuatro dimensiones, la tabla de hechos y dos tablas de control. Las dimensiones de personas y proyectos tienen una clave interna y el identificador del origen. La tabla de tiempo utiliza id_tiempo; el hecho incluye id_carga para relacionar sus filas con la ejecución.</w:t>
      </w:r>
    </w:p>
    <w:p>
      <w:r>
        <w:rPr>
          <w:b w:val="0"/>
        </w:rPr>
        <w:t>Fragmento del DDL publicado —dimensión trabajador—:</w:t>
      </w:r>
    </w:p>
    <w:tbl>
      <w:tblPr>
        <w:tblStyle w:val="TableGrid"/>
        <w:tblW w:type="auto" w:w="0"/>
        <w:tblLook w:firstColumn="1" w:firstRow="1" w:lastColumn="0" w:lastRow="0" w:noHBand="0" w:noVBand="1" w:val="04A0"/>
      </w:tblPr>
      <w:tblGrid>
        <w:gridCol w:w="9411"/>
      </w:tblGrid>
      <w:tr>
        <w:trPr>
          <w:cantSplit/>
        </w:trPr>
        <w:tc>
          <w:tcPr>
            <w:tcW w:type="dxa" w:w="9411"/>
            <w:shd w:fill="F4F6F8"/>
          </w:tcPr>
          <w:p>
            <w:pPr>
              <w:spacing w:after="20" w:line="240" w:lineRule="auto"/>
            </w:pPr>
            <w:r>
              <w:rPr>
                <w:rFonts w:ascii="Consolas" w:hAnsi="Consolas"/>
                <w:sz w:val="17"/>
              </w:rPr>
              <w:t>CREATE TABLE dbo.dim_trabajador (</w:t>
              <w:br/>
              <w:tab/>
              <w:t>id_trabajador int IDENTITY(1,1) PRIMARY KEY,</w:t>
              <w:br/>
              <w:tab/>
              <w:t>id_trabajador_origen int NOT NULL UNIQUE,</w:t>
              <w:br/>
              <w:tab/>
              <w:t>codigo_trabajador nvarchar(20) NOT NULL,</w:t>
              <w:br/>
              <w:tab/>
              <w:t>nombre_completo nvarchar(150) NOT NULL,</w:t>
              <w:br/>
              <w:tab/>
              <w:t>cargo nvarchar(100) NOT NULL,</w:t>
              <w:br/>
              <w:tab/>
              <w:t>tipo_jornada nvarchar(20) NOT NULL,</w:t>
              <w:br/>
              <w:tab/>
              <w:t>estado nvarchar(10) NOT NULL</w:t>
              <w:br/>
              <w:t>);</w:t>
            </w:r>
          </w:p>
        </w:tc>
      </w:tr>
    </w:tbl>
    <w:p>
      <w:r>
        <w:rPr>
          <w:b w:val="0"/>
        </w:rPr>
      </w:r>
    </w:p>
    <w:p>
      <w:r>
        <w:rPr>
          <w:b w:val="0"/>
        </w:rPr>
      </w:r>
      <w:hyperlink r:id="rId16">
        <w:r>
          <w:rPr>
            <w:color w:val="0563C1"/>
            <w:u w:val="single"/>
          </w:rPr>
          <w:t>E-06 · DDL completo del Data Mart</w:t>
        </w:r>
      </w:hyperlink>
    </w:p>
    <w:p>
      <w:r>
        <w:rPr>
          <w:b w:val="0"/>
        </w:rPr>
        <w:t>El procedimiento dbo.usp_cargar_rendimiento recibe dos fechas. Los INSERT de asistencia y tareas se ejecutan por separado dentro de la misma transacción. Las vistas exponen las dimensiones, las cantidades, el resumen mensual y la calidad de cargas. El siguiente ejemplo calcula indicadores del trimestre sumando primero las cantidades:</w:t>
      </w:r>
    </w:p>
    <w:tbl>
      <w:tblPr>
        <w:tblStyle w:val="TableGrid"/>
        <w:tblW w:type="auto" w:w="0"/>
        <w:tblLook w:firstColumn="1" w:firstRow="1" w:lastColumn="0" w:lastRow="0" w:noHBand="0" w:noVBand="1" w:val="04A0"/>
      </w:tblPr>
      <w:tblGrid>
        <w:gridCol w:w="9411"/>
      </w:tblGrid>
      <w:tr>
        <w:trPr>
          <w:cantSplit/>
        </w:trPr>
        <w:tc>
          <w:tcPr>
            <w:tcW w:type="dxa" w:w="9411"/>
            <w:shd w:fill="F4F6F8"/>
          </w:tcPr>
          <w:p>
            <w:pPr>
              <w:spacing w:after="20" w:line="240" w:lineRule="auto"/>
            </w:pPr>
            <w:r>
              <w:rPr>
                <w:rFonts w:ascii="Consolas" w:hAnsi="Consolas"/>
                <w:sz w:val="17"/>
              </w:rPr>
              <w:t>WITH resumen AS (</w:t>
              <w:br/>
              <w:t xml:space="preserve"> SELECT SUM(total_asistencias) AS asistencias,</w:t>
              <w:br/>
              <w:t xml:space="preserve">        SUM(asistencias_a_tiempo) AS puntuales,</w:t>
              <w:br/>
              <w:t xml:space="preserve">        SUM(total_tareas) AS tareas,</w:t>
              <w:br/>
              <w:t xml:space="preserve">        SUM(tareas_sin_observaciones) AS sin_observaciones,</w:t>
              <w:br/>
              <w:t xml:space="preserve">        SUM(tareas_fuera_plazo) AS fuera_plazo</w:t>
              <w:br/>
              <w:t xml:space="preserve"> FROM dbo.vw_rendimiento_kpis f</w:t>
              <w:br/>
              <w:t xml:space="preserve"> JOIN dbo.dim_tiempo d ON d.id_tiempo = f.id_tiempo</w:t>
              <w:br/>
              <w:t xml:space="preserve"> WHERE d.fecha BETWEEN '20260701' AND '20260930'</w:t>
              <w:br/>
              <w:t>), tasas AS (</w:t>
              <w:br/>
              <w:t xml:space="preserve"> SELECT 100.0 * puntuales / NULLIF(asistencias, 0) AS tpa,</w:t>
              <w:br/>
              <w:t xml:space="preserve">        100.0 * sin_observaciones / NULLIF(tareas, 0) AS ict,</w:t>
              <w:br/>
              <w:t xml:space="preserve">        100.0 * fuera_plazo / NULLIF(tareas, 0) AS tdt</w:t>
              <w:br/>
              <w:t xml:space="preserve"> FROM resumen</w:t>
              <w:br/>
              <w:t>)</w:t>
              <w:br/>
              <w:t>SELECT tpa, ict, tdt,</w:t>
              <w:br/>
              <w:t xml:space="preserve">       tpa * 0.30 + ict * 0.50 + (100 - tdt) * 0.20 AS iep</w:t>
              <w:br/>
              <w:t>FROM tasas;</w:t>
            </w:r>
          </w:p>
        </w:tc>
      </w:tr>
    </w:tbl>
    <w:p>
      <w:r>
        <w:rPr>
          <w:b w:val="0"/>
        </w:rPr>
      </w:r>
    </w:p>
    <w:p>
      <w:r>
        <w:rPr>
          <w:b w:val="0"/>
        </w:rPr>
        <w:t>Esta consulta ilustra la agregación del modelo; las definiciones de la entrega están en las vistas y en Medidas_PowerBI.dax. Power BI mantiene TPA, ICT y TDT como razones de 0 a 1 con formato porcentual, mientras que IEP se multiplica por 100 y se presenta como puntaje.</w:t>
      </w:r>
    </w:p>
    <w:p>
      <w:r>
        <w:rPr>
          <w:b w:val="0"/>
        </w:rPr>
      </w:r>
      <w:hyperlink r:id="rId17">
        <w:r>
          <w:rPr>
            <w:color w:val="0563C1"/>
            <w:u w:val="single"/>
          </w:rPr>
          <w:t>E-06 · Procedimiento ETL completo</w:t>
        </w:r>
      </w:hyperlink>
    </w:p>
    <w:p>
      <w:r>
        <w:rPr>
          <w:b w:val="0"/>
        </w:rPr>
      </w:r>
      <w:hyperlink r:id="rId18">
        <w:r>
          <w:rPr>
            <w:color w:val="0563C1"/>
            <w:u w:val="single"/>
          </w:rPr>
          <w:t>E-06 · Vistas SQL</w:t>
        </w:r>
      </w:hyperlink>
    </w:p>
    <w:p>
      <w:r>
        <w:rPr>
          <w:b w:val="0"/>
        </w:rPr>
      </w:r>
      <w:hyperlink r:id="rId19">
        <w:r>
          <w:rPr>
            <w:color w:val="0563C1"/>
            <w:u w:val="single"/>
          </w:rPr>
          <w:t>E-06 · Medidas DAX</w:t>
        </w:r>
      </w:hyperlink>
    </w:p>
    <w:p>
      <w:bookmarkStart w:id="47" w:name="seccion_47"/>
      <w:pPr>
        <w:pStyle w:val="Heading2"/>
      </w:pPr>
      <w:r>
        <w:t>5.3 Implementación de la solución Big Data</w:t>
      </w:r>
      <w:bookmarkEnd w:id="47"/>
    </w:p>
    <w:p>
      <w:r>
        <w:rPr>
          <w:b w:val="0"/>
        </w:rPr>
        <w:t>Apartado reservado para la siguiente etapa. No desarrollado en la entrega T2.</w:t>
      </w:r>
    </w:p>
    <w:p>
      <w:bookmarkStart w:id="48" w:name="seccion_48"/>
      <w:pPr>
        <w:pStyle w:val="Heading2"/>
      </w:pPr>
      <w:r>
        <w:t>5.4 Calidad, seguridad y pruebas</w:t>
      </w:r>
      <w:bookmarkEnd w:id="48"/>
    </w:p>
    <w:p>
      <w:pPr>
        <w:pStyle w:val="Caption"/>
      </w:pPr>
      <w:r>
        <w:rPr>
          <w:b w:val="0"/>
        </w:rPr>
        <w:t>Tabla 10. Pruebas y estado de verificación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850"/>
            <w:shd w:fill="E7EFF5"/>
            <w:vAlign w:val="center"/>
          </w:tcPr>
          <w:p>
            <w:pPr>
              <w:spacing w:after="60" w:before="40" w:line="240" w:lineRule="auto"/>
            </w:pPr>
            <w:r>
              <w:rPr>
                <w:rFonts w:ascii="Arial" w:hAnsi="Arial"/>
                <w:b/>
                <w:sz w:val="18"/>
              </w:rPr>
              <w:t>ID</w:t>
            </w:r>
          </w:p>
        </w:tc>
        <w:tc>
          <w:tcPr>
            <w:tcW w:type="dxa" w:w="2268"/>
            <w:shd w:fill="E7EFF5"/>
            <w:vAlign w:val="center"/>
          </w:tcPr>
          <w:p>
            <w:pPr>
              <w:spacing w:after="60" w:before="40" w:line="240" w:lineRule="auto"/>
            </w:pPr>
            <w:r>
              <w:rPr>
                <w:rFonts w:ascii="Arial" w:hAnsi="Arial"/>
                <w:b/>
                <w:sz w:val="18"/>
              </w:rPr>
              <w:t>CONDICIÓN</w:t>
            </w:r>
          </w:p>
        </w:tc>
        <w:tc>
          <w:tcPr>
            <w:tcW w:type="dxa" w:w="4309"/>
            <w:shd w:fill="E7EFF5"/>
            <w:vAlign w:val="center"/>
          </w:tcPr>
          <w:p>
            <w:pPr>
              <w:spacing w:after="60" w:before="40" w:line="240" w:lineRule="auto"/>
            </w:pPr>
            <w:r>
              <w:rPr>
                <w:rFonts w:ascii="Arial" w:hAnsi="Arial"/>
                <w:b/>
                <w:sz w:val="18"/>
              </w:rPr>
              <w:t>RESULTADO DOCUMENTADO</w:t>
            </w:r>
          </w:p>
        </w:tc>
        <w:tc>
          <w:tcPr>
            <w:tcW w:type="dxa" w:w="1871"/>
            <w:shd w:fill="E7EFF5"/>
            <w:vAlign w:val="center"/>
          </w:tcPr>
          <w:p>
            <w:pPr>
              <w:spacing w:after="60" w:before="40" w:line="240" w:lineRule="auto"/>
            </w:pPr>
            <w:r>
              <w:rPr>
                <w:rFonts w:ascii="Arial" w:hAnsi="Arial"/>
                <w:b/>
                <w:sz w:val="18"/>
              </w:rPr>
              <w:t>EVIDENCIA</w:t>
            </w:r>
          </w:p>
        </w:tc>
      </w:tr>
      <w:tr>
        <w:trPr>
          <w:cantSplit/>
        </w:trPr>
        <w:tc>
          <w:tcPr>
            <w:tcW w:type="dxa" w:w="850"/>
            <w:vAlign w:val="center"/>
          </w:tcPr>
          <w:p>
            <w:pPr>
              <w:spacing w:after="60" w:before="40" w:line="240" w:lineRule="auto"/>
            </w:pPr>
            <w:r>
              <w:rPr>
                <w:rFonts w:ascii="Arial" w:hAnsi="Arial"/>
                <w:sz w:val="18"/>
              </w:rPr>
              <w:t>T-01</w:t>
            </w:r>
          </w:p>
        </w:tc>
        <w:tc>
          <w:tcPr>
            <w:tcW w:type="dxa" w:w="2268"/>
            <w:vAlign w:val="center"/>
          </w:tcPr>
          <w:p>
            <w:pPr>
              <w:spacing w:after="60" w:before="40" w:line="240" w:lineRule="auto"/>
            </w:pPr>
            <w:r>
              <w:rPr>
                <w:rFonts w:ascii="Arial" w:hAnsi="Arial"/>
                <w:sz w:val="18"/>
              </w:rPr>
              <w:t>Padrón y cantidades del trimestre.</w:t>
            </w:r>
          </w:p>
        </w:tc>
        <w:tc>
          <w:tcPr>
            <w:tcW w:type="dxa" w:w="4309"/>
            <w:vAlign w:val="center"/>
          </w:tcPr>
          <w:p>
            <w:pPr>
              <w:spacing w:after="60" w:before="40" w:line="240" w:lineRule="auto"/>
            </w:pPr>
            <w:r>
              <w:rPr>
                <w:rFonts w:ascii="Arial" w:hAnsi="Arial"/>
                <w:sz w:val="18"/>
              </w:rPr>
              <w:t>Diez trabajadores, 582 asistencias, 582 tareas y 30 resúmenes mensuales.</w:t>
            </w:r>
          </w:p>
        </w:tc>
        <w:tc>
          <w:tcPr>
            <w:tcW w:type="dxa" w:w="1871"/>
            <w:vAlign w:val="center"/>
          </w:tcPr>
          <w:p>
            <w:pPr>
              <w:spacing w:after="60" w:before="40" w:line="240" w:lineRule="auto"/>
            </w:pPr>
            <w:r>
              <w:rPr>
                <w:rFonts w:ascii="Arial" w:hAnsi="Arial"/>
                <w:sz w:val="18"/>
              </w:rPr>
              <w:t>E-02</w:t>
            </w:r>
          </w:p>
        </w:tc>
      </w:tr>
      <w:tr>
        <w:trPr>
          <w:cantSplit/>
        </w:trPr>
        <w:tc>
          <w:tcPr>
            <w:tcW w:type="dxa" w:w="850"/>
            <w:vAlign w:val="center"/>
          </w:tcPr>
          <w:p>
            <w:pPr>
              <w:spacing w:after="60" w:before="40" w:line="240" w:lineRule="auto"/>
            </w:pPr>
            <w:r>
              <w:rPr>
                <w:rFonts w:ascii="Arial" w:hAnsi="Arial"/>
                <w:sz w:val="18"/>
              </w:rPr>
              <w:t>T-02</w:t>
            </w:r>
          </w:p>
        </w:tc>
        <w:tc>
          <w:tcPr>
            <w:tcW w:type="dxa" w:w="2268"/>
            <w:vAlign w:val="center"/>
          </w:tcPr>
          <w:p>
            <w:pPr>
              <w:spacing w:after="60" w:before="40" w:line="240" w:lineRule="auto"/>
            </w:pPr>
            <w:r>
              <w:rPr>
                <w:rFonts w:ascii="Arial" w:hAnsi="Arial"/>
                <w:sz w:val="18"/>
              </w:rPr>
              <w:t>Conciliación mensual.</w:t>
            </w:r>
          </w:p>
        </w:tc>
        <w:tc>
          <w:tcPr>
            <w:tcW w:type="dxa" w:w="4309"/>
            <w:vAlign w:val="center"/>
          </w:tcPr>
          <w:p>
            <w:pPr>
              <w:spacing w:after="60" w:before="40" w:line="240" w:lineRule="auto"/>
            </w:pPr>
            <w:r>
              <w:rPr>
                <w:rFonts w:ascii="Arial" w:hAnsi="Arial"/>
                <w:sz w:val="18"/>
              </w:rPr>
              <w:t>203, 186 y 193 movimientos de cada tipo en origen y destino.</w:t>
            </w:r>
          </w:p>
        </w:tc>
        <w:tc>
          <w:tcPr>
            <w:tcW w:type="dxa" w:w="1871"/>
            <w:vAlign w:val="center"/>
          </w:tcPr>
          <w:p>
            <w:pPr>
              <w:spacing w:after="60" w:before="40" w:line="240" w:lineRule="auto"/>
            </w:pPr>
            <w:r>
              <w:rPr>
                <w:rFonts w:ascii="Arial" w:hAnsi="Arial"/>
                <w:sz w:val="18"/>
              </w:rPr>
              <w:t>E-02 / E-10</w:t>
            </w:r>
          </w:p>
        </w:tc>
      </w:tr>
      <w:tr>
        <w:trPr>
          <w:cantSplit/>
        </w:trPr>
        <w:tc>
          <w:tcPr>
            <w:tcW w:type="dxa" w:w="850"/>
            <w:vAlign w:val="center"/>
          </w:tcPr>
          <w:p>
            <w:pPr>
              <w:spacing w:after="60" w:before="40" w:line="240" w:lineRule="auto"/>
            </w:pPr>
            <w:r>
              <w:rPr>
                <w:rFonts w:ascii="Arial" w:hAnsi="Arial"/>
                <w:sz w:val="18"/>
              </w:rPr>
              <w:t>T-03</w:t>
            </w:r>
          </w:p>
        </w:tc>
        <w:tc>
          <w:tcPr>
            <w:tcW w:type="dxa" w:w="2268"/>
            <w:vAlign w:val="center"/>
          </w:tcPr>
          <w:p>
            <w:pPr>
              <w:spacing w:after="60" w:before="40" w:line="240" w:lineRule="auto"/>
            </w:pPr>
            <w:r>
              <w:rPr>
                <w:rFonts w:ascii="Arial" w:hAnsi="Arial"/>
                <w:sz w:val="18"/>
              </w:rPr>
              <w:t>Dos cargas iguales.</w:t>
            </w:r>
          </w:p>
        </w:tc>
        <w:tc>
          <w:tcPr>
            <w:tcW w:type="dxa" w:w="4309"/>
            <w:vAlign w:val="center"/>
          </w:tcPr>
          <w:p>
            <w:pPr>
              <w:spacing w:after="60" w:before="40" w:line="240" w:lineRule="auto"/>
            </w:pPr>
            <w:r>
              <w:rPr>
                <w:rFonts w:ascii="Arial" w:hAnsi="Arial"/>
                <w:sz w:val="18"/>
              </w:rPr>
              <w:t>Las claves y medidas de la vista se conservan; no se muestran grupos duplicados.</w:t>
            </w:r>
          </w:p>
        </w:tc>
        <w:tc>
          <w:tcPr>
            <w:tcW w:type="dxa" w:w="1871"/>
            <w:vAlign w:val="center"/>
          </w:tcPr>
          <w:p>
            <w:pPr>
              <w:spacing w:after="60" w:before="40" w:line="240" w:lineRule="auto"/>
            </w:pPr>
            <w:r>
              <w:rPr>
                <w:rFonts w:ascii="Arial" w:hAnsi="Arial"/>
                <w:sz w:val="18"/>
              </w:rPr>
              <w:t>E-09 / E-10</w:t>
            </w:r>
          </w:p>
        </w:tc>
      </w:tr>
      <w:tr>
        <w:trPr>
          <w:cantSplit/>
        </w:trPr>
        <w:tc>
          <w:tcPr>
            <w:tcW w:type="dxa" w:w="850"/>
            <w:vAlign w:val="center"/>
          </w:tcPr>
          <w:p>
            <w:pPr>
              <w:spacing w:after="60" w:before="40" w:line="240" w:lineRule="auto"/>
            </w:pPr>
            <w:r>
              <w:rPr>
                <w:rFonts w:ascii="Arial" w:hAnsi="Arial"/>
                <w:sz w:val="18"/>
              </w:rPr>
              <w:t>T-04</w:t>
            </w:r>
          </w:p>
        </w:tc>
        <w:tc>
          <w:tcPr>
            <w:tcW w:type="dxa" w:w="2268"/>
            <w:vAlign w:val="center"/>
          </w:tcPr>
          <w:p>
            <w:pPr>
              <w:spacing w:after="60" w:before="40" w:line="240" w:lineRule="auto"/>
            </w:pPr>
            <w:r>
              <w:rPr>
                <w:rFonts w:ascii="Arial" w:hAnsi="Arial"/>
                <w:sz w:val="18"/>
              </w:rPr>
              <w:t>Bitácora del conjunto inicial.</w:t>
            </w:r>
          </w:p>
        </w:tc>
        <w:tc>
          <w:tcPr>
            <w:tcW w:type="dxa" w:w="4309"/>
            <w:vAlign w:val="center"/>
          </w:tcPr>
          <w:p>
            <w:pPr>
              <w:spacing w:after="60" w:before="40" w:line="240" w:lineRule="auto"/>
            </w:pPr>
            <w:r>
              <w:rPr>
                <w:rFonts w:ascii="Arial" w:hAnsi="Arial"/>
                <w:sz w:val="18"/>
              </w:rPr>
              <w:t>Estado Completada, cero rechazos y 1.164 filas cargadas.</w:t>
            </w:r>
          </w:p>
        </w:tc>
        <w:tc>
          <w:tcPr>
            <w:tcW w:type="dxa" w:w="1871"/>
            <w:vAlign w:val="center"/>
          </w:tcPr>
          <w:p>
            <w:pPr>
              <w:spacing w:after="60" w:before="40" w:line="240" w:lineRule="auto"/>
            </w:pPr>
            <w:r>
              <w:rPr>
                <w:rFonts w:ascii="Arial" w:hAnsi="Arial"/>
                <w:sz w:val="18"/>
              </w:rPr>
              <w:t>E-02 / E-10</w:t>
            </w:r>
          </w:p>
        </w:tc>
      </w:tr>
      <w:tr>
        <w:trPr>
          <w:cantSplit/>
        </w:trPr>
        <w:tc>
          <w:tcPr>
            <w:tcW w:type="dxa" w:w="850"/>
            <w:vAlign w:val="center"/>
          </w:tcPr>
          <w:p>
            <w:pPr>
              <w:spacing w:after="60" w:before="40" w:line="240" w:lineRule="auto"/>
            </w:pPr>
            <w:r>
              <w:rPr>
                <w:rFonts w:ascii="Arial" w:hAnsi="Arial"/>
                <w:sz w:val="18"/>
              </w:rPr>
              <w:t>T-05</w:t>
            </w:r>
          </w:p>
        </w:tc>
        <w:tc>
          <w:tcPr>
            <w:tcW w:type="dxa" w:w="2268"/>
            <w:vAlign w:val="center"/>
          </w:tcPr>
          <w:p>
            <w:pPr>
              <w:spacing w:after="60" w:before="40" w:line="240" w:lineRule="auto"/>
            </w:pPr>
            <w:r>
              <w:rPr>
                <w:rFonts w:ascii="Arial" w:hAnsi="Arial"/>
                <w:sz w:val="18"/>
              </w:rPr>
              <w:t>Dashboard general.</w:t>
            </w:r>
          </w:p>
        </w:tc>
        <w:tc>
          <w:tcPr>
            <w:tcW w:type="dxa" w:w="4309"/>
            <w:vAlign w:val="center"/>
          </w:tcPr>
          <w:p>
            <w:pPr>
              <w:spacing w:after="60" w:before="40" w:line="240" w:lineRule="auto"/>
            </w:pPr>
            <w:r>
              <w:rPr>
                <w:rFonts w:ascii="Arial" w:hAnsi="Arial"/>
                <w:sz w:val="18"/>
              </w:rPr>
              <w:t>Captura publicada con seis tarjetas y ranking; se inspeccionó el archivo de dos páginas.</w:t>
            </w:r>
          </w:p>
        </w:tc>
        <w:tc>
          <w:tcPr>
            <w:tcW w:type="dxa" w:w="1871"/>
            <w:vAlign w:val="center"/>
          </w:tcPr>
          <w:p>
            <w:pPr>
              <w:spacing w:after="60" w:before="40" w:line="240" w:lineRule="auto"/>
            </w:pPr>
            <w:r>
              <w:rPr>
                <w:rFonts w:ascii="Arial" w:hAnsi="Arial"/>
                <w:sz w:val="18"/>
              </w:rPr>
              <w:t>E-07 / E-13</w:t>
            </w:r>
          </w:p>
        </w:tc>
      </w:tr>
      <w:tr>
        <w:trPr>
          <w:cantSplit/>
        </w:trPr>
        <w:tc>
          <w:tcPr>
            <w:tcW w:type="dxa" w:w="850"/>
            <w:vAlign w:val="center"/>
          </w:tcPr>
          <w:p>
            <w:pPr>
              <w:spacing w:after="60" w:before="40" w:line="240" w:lineRule="auto"/>
            </w:pPr>
            <w:r>
              <w:rPr>
                <w:rFonts w:ascii="Arial" w:hAnsi="Arial"/>
                <w:sz w:val="18"/>
              </w:rPr>
              <w:t>T-06</w:t>
            </w:r>
          </w:p>
        </w:tc>
        <w:tc>
          <w:tcPr>
            <w:tcW w:type="dxa" w:w="2268"/>
            <w:vAlign w:val="center"/>
          </w:tcPr>
          <w:p>
            <w:pPr>
              <w:spacing w:after="60" w:before="40" w:line="240" w:lineRule="auto"/>
            </w:pPr>
            <w:r>
              <w:rPr>
                <w:rFonts w:ascii="Arial" w:hAnsi="Arial"/>
                <w:sz w:val="18"/>
              </w:rPr>
              <w:t>Seguridad por fila y rendimiento.</w:t>
            </w:r>
          </w:p>
        </w:tc>
        <w:tc>
          <w:tcPr>
            <w:tcW w:type="dxa" w:w="4309"/>
            <w:vAlign w:val="center"/>
          </w:tcPr>
          <w:p>
            <w:pPr>
              <w:spacing w:after="60" w:before="40" w:line="240" w:lineRule="auto"/>
            </w:pPr>
            <w:r>
              <w:rPr>
                <w:rFonts w:ascii="Arial" w:hAnsi="Arial"/>
                <w:sz w:val="18"/>
              </w:rPr>
              <w:t>Fuera de la verificación disponible: sin resultado aprobado de RLS, latencia o CPU.</w:t>
            </w:r>
          </w:p>
        </w:tc>
        <w:tc>
          <w:tcPr>
            <w:tcW w:type="dxa" w:w="1871"/>
            <w:vAlign w:val="center"/>
          </w:tcPr>
          <w:p>
            <w:pPr>
              <w:spacing w:after="60" w:before="40" w:line="240" w:lineRule="auto"/>
            </w:pPr>
            <w:r>
              <w:rPr>
                <w:rFonts w:ascii="Arial" w:hAnsi="Arial"/>
                <w:sz w:val="18"/>
              </w:rPr>
              <w:t>No se presenta como prueba superada.</w:t>
            </w:r>
          </w:p>
        </w:tc>
      </w:tr>
    </w:tbl>
    <w:p>
      <w:r>
        <w:rPr>
          <w:b w:val="0"/>
        </w:rPr>
      </w:r>
    </w:p>
    <w:p>
      <w:r>
        <w:rPr>
          <w:b w:val="0"/>
        </w:rPr>
        <w:t>Las comprobaciones de SQL se respaldan en resultados y capturas publicados. La existencia de un reporte y sus visuales no sustituye una actualización en vivo en el equipo de exposición. Antes de la demostración se debe comprobar la conexión local. Las medidas de seguridad recomendadas no se presentan como funciones implementadas.</w:t>
      </w:r>
    </w:p>
    <w:p>
      <w:bookmarkStart w:id="49" w:name="seccion_49"/>
      <w:pPr>
        <w:pStyle w:val="Heading2"/>
      </w:pPr>
      <w:r>
        <w:t>5.5 Registro de retroalimentación y mejoras</w:t>
      </w:r>
      <w:bookmarkEnd w:id="49"/>
    </w:p>
    <w:p>
      <w:r>
        <w:rPr>
          <w:b w:val="0"/>
        </w:rPr>
        <w:t>El historial permite documentar las siguientes mejoras del proyecto y verificar los archivos modificados en cada etapa.</w:t>
      </w:r>
    </w:p>
    <w:p>
      <w:pPr>
        <w:pStyle w:val="Caption"/>
      </w:pPr>
      <w:r>
        <w:rPr>
          <w:b w:val="0"/>
        </w:rPr>
        <w:t>Tabla 11. Mejoras trazables en el repositorio</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247"/>
            <w:shd w:fill="E7EFF5"/>
            <w:vAlign w:val="center"/>
          </w:tcPr>
          <w:p>
            <w:pPr>
              <w:spacing w:after="60" w:before="40" w:line="240" w:lineRule="auto"/>
            </w:pPr>
            <w:r>
              <w:rPr>
                <w:rFonts w:ascii="Arial" w:hAnsi="Arial"/>
                <w:b/>
                <w:sz w:val="18"/>
              </w:rPr>
              <w:t>FECHA</w:t>
            </w:r>
          </w:p>
        </w:tc>
        <w:tc>
          <w:tcPr>
            <w:tcW w:type="dxa" w:w="2948"/>
            <w:shd w:fill="E7EFF5"/>
            <w:vAlign w:val="center"/>
          </w:tcPr>
          <w:p>
            <w:pPr>
              <w:spacing w:after="60" w:before="40" w:line="240" w:lineRule="auto"/>
            </w:pPr>
            <w:r>
              <w:rPr>
                <w:rFonts w:ascii="Arial" w:hAnsi="Arial"/>
                <w:b/>
                <w:sz w:val="18"/>
              </w:rPr>
              <w:t>MEJORA</w:t>
            </w:r>
          </w:p>
        </w:tc>
        <w:tc>
          <w:tcPr>
            <w:tcW w:type="dxa" w:w="2551"/>
            <w:shd w:fill="E7EFF5"/>
            <w:vAlign w:val="center"/>
          </w:tcPr>
          <w:p>
            <w:pPr>
              <w:spacing w:after="60" w:before="40" w:line="240" w:lineRule="auto"/>
            </w:pPr>
            <w:r>
              <w:rPr>
                <w:rFonts w:ascii="Arial" w:hAnsi="Arial"/>
                <w:b/>
                <w:sz w:val="18"/>
              </w:rPr>
              <w:t>EVIDENCIA DEL CAMBIO</w:t>
            </w:r>
          </w:p>
        </w:tc>
        <w:tc>
          <w:tcPr>
            <w:tcW w:type="dxa" w:w="2551"/>
            <w:shd w:fill="E7EFF5"/>
            <w:vAlign w:val="center"/>
          </w:tcPr>
          <w:p>
            <w:pPr>
              <w:spacing w:after="60" w:before="40" w:line="240" w:lineRule="auto"/>
            </w:pPr>
            <w:r>
              <w:rPr>
                <w:rFonts w:ascii="Arial" w:hAnsi="Arial"/>
                <w:b/>
                <w:sz w:val="18"/>
              </w:rPr>
              <w:t>VERIFICACIÓN</w:t>
            </w:r>
          </w:p>
        </w:tc>
      </w:tr>
      <w:tr>
        <w:trPr>
          <w:cantSplit/>
        </w:trPr>
        <w:tc>
          <w:tcPr>
            <w:tcW w:type="dxa" w:w="1247"/>
            <w:vAlign w:val="center"/>
          </w:tcPr>
          <w:p>
            <w:pPr>
              <w:spacing w:after="60" w:before="40" w:line="240" w:lineRule="auto"/>
            </w:pPr>
            <w:r>
              <w:rPr>
                <w:rFonts w:ascii="Arial" w:hAnsi="Arial"/>
                <w:sz w:val="18"/>
              </w:rPr>
              <w:t>22/10/2026</w:t>
            </w:r>
          </w:p>
        </w:tc>
        <w:tc>
          <w:tcPr>
            <w:tcW w:type="dxa" w:w="2948"/>
            <w:vAlign w:val="center"/>
          </w:tcPr>
          <w:p>
            <w:pPr>
              <w:spacing w:after="60" w:before="40" w:line="240" w:lineRule="auto"/>
            </w:pPr>
            <w:r>
              <w:rPr>
                <w:rFonts w:ascii="Arial" w:hAnsi="Arial"/>
                <w:sz w:val="18"/>
              </w:rPr>
              <w:t>Alineación del padrón con el archivo original.</w:t>
            </w:r>
          </w:p>
        </w:tc>
        <w:tc>
          <w:tcPr>
            <w:tcW w:type="dxa" w:w="2551"/>
            <w:vAlign w:val="center"/>
          </w:tcPr>
          <w:p>
            <w:pPr>
              <w:spacing w:after="60" w:before="40" w:line="240" w:lineRule="auto"/>
            </w:pPr>
            <w:r>
              <w:rPr>
                <w:rFonts w:ascii="Arial" w:hAnsi="Arial"/>
                <w:sz w:val="18"/>
              </w:rPr>
              <w:t>Commit 5ba3444 y PR #3.</w:t>
            </w:r>
          </w:p>
        </w:tc>
        <w:tc>
          <w:tcPr>
            <w:tcW w:type="dxa" w:w="2551"/>
            <w:vAlign w:val="center"/>
          </w:tcPr>
          <w:p>
            <w:pPr>
              <w:spacing w:after="60" w:before="40" w:line="240" w:lineRule="auto"/>
            </w:pPr>
            <w:r>
              <w:rPr>
                <w:rFonts w:ascii="Arial" w:hAnsi="Arial"/>
                <w:sz w:val="18"/>
              </w:rPr>
              <w:t>Se conservan diez trabajadores y sus movimientos.</w:t>
            </w:r>
          </w:p>
        </w:tc>
      </w:tr>
      <w:tr>
        <w:trPr>
          <w:cantSplit/>
        </w:trPr>
        <w:tc>
          <w:tcPr>
            <w:tcW w:type="dxa" w:w="1247"/>
            <w:vAlign w:val="center"/>
          </w:tcPr>
          <w:p>
            <w:pPr>
              <w:spacing w:after="60" w:before="40" w:line="240" w:lineRule="auto"/>
            </w:pPr>
            <w:r>
              <w:rPr>
                <w:rFonts w:ascii="Arial" w:hAnsi="Arial"/>
                <w:sz w:val="18"/>
              </w:rPr>
              <w:t>22/10/2026</w:t>
            </w:r>
          </w:p>
        </w:tc>
        <w:tc>
          <w:tcPr>
            <w:tcW w:type="dxa" w:w="2948"/>
            <w:vAlign w:val="center"/>
          </w:tcPr>
          <w:p>
            <w:pPr>
              <w:spacing w:after="60" w:before="40" w:line="240" w:lineRule="auto"/>
            </w:pPr>
            <w:r>
              <w:rPr>
                <w:rFonts w:ascii="Arial" w:hAnsi="Arial"/>
                <w:sz w:val="18"/>
              </w:rPr>
              <w:t>Definición de tarjetas, auxiliares y ejemplo de lectura.</w:t>
            </w:r>
          </w:p>
        </w:tc>
        <w:tc>
          <w:tcPr>
            <w:tcW w:type="dxa" w:w="2551"/>
            <w:vAlign w:val="center"/>
          </w:tcPr>
          <w:p>
            <w:pPr>
              <w:spacing w:after="60" w:before="40" w:line="240" w:lineRule="auto"/>
            </w:pPr>
            <w:r>
              <w:rPr>
                <w:rFonts w:ascii="Arial" w:hAnsi="Arial"/>
                <w:sz w:val="18"/>
              </w:rPr>
              <w:t>Commit 8a944d8 y PR #4.</w:t>
            </w:r>
          </w:p>
        </w:tc>
        <w:tc>
          <w:tcPr>
            <w:tcW w:type="dxa" w:w="2551"/>
            <w:vAlign w:val="center"/>
          </w:tcPr>
          <w:p>
            <w:pPr>
              <w:spacing w:after="60" w:before="40" w:line="240" w:lineRule="auto"/>
            </w:pPr>
            <w:r>
              <w:rPr>
                <w:rFonts w:ascii="Arial" w:hAnsi="Arial"/>
                <w:sz w:val="18"/>
              </w:rPr>
              <w:t>Fórmulas e interpretación publicadas.</w:t>
            </w:r>
          </w:p>
        </w:tc>
      </w:tr>
      <w:tr>
        <w:trPr>
          <w:cantSplit/>
        </w:trPr>
        <w:tc>
          <w:tcPr>
            <w:tcW w:type="dxa" w:w="1247"/>
            <w:vAlign w:val="center"/>
          </w:tcPr>
          <w:p>
            <w:pPr>
              <w:spacing w:after="60" w:before="40" w:line="240" w:lineRule="auto"/>
            </w:pPr>
            <w:r>
              <w:rPr>
                <w:rFonts w:ascii="Arial" w:hAnsi="Arial"/>
                <w:sz w:val="18"/>
              </w:rPr>
              <w:t>22/10/2026</w:t>
            </w:r>
          </w:p>
        </w:tc>
        <w:tc>
          <w:tcPr>
            <w:tcW w:type="dxa" w:w="2948"/>
            <w:vAlign w:val="center"/>
          </w:tcPr>
          <w:p>
            <w:pPr>
              <w:spacing w:after="60" w:before="40" w:line="240" w:lineRule="auto"/>
            </w:pPr>
            <w:r>
              <w:rPr>
                <w:rFonts w:ascii="Arial" w:hAnsi="Arial"/>
                <w:sz w:val="18"/>
              </w:rPr>
              <w:t>Organización del reporte y sus evidencias.</w:t>
            </w:r>
          </w:p>
        </w:tc>
        <w:tc>
          <w:tcPr>
            <w:tcW w:type="dxa" w:w="2551"/>
            <w:vAlign w:val="center"/>
          </w:tcPr>
          <w:p>
            <w:pPr>
              <w:spacing w:after="60" w:before="40" w:line="240" w:lineRule="auto"/>
            </w:pPr>
            <w:r>
              <w:rPr>
                <w:rFonts w:ascii="Arial" w:hAnsi="Arial"/>
                <w:sz w:val="18"/>
              </w:rPr>
              <w:t>Commit 1261eb6 y PR #5.</w:t>
            </w:r>
          </w:p>
        </w:tc>
        <w:tc>
          <w:tcPr>
            <w:tcW w:type="dxa" w:w="2551"/>
            <w:vAlign w:val="center"/>
          </w:tcPr>
          <w:p>
            <w:pPr>
              <w:spacing w:after="60" w:before="40" w:line="240" w:lineRule="auto"/>
            </w:pPr>
            <w:r>
              <w:rPr>
                <w:rFonts w:ascii="Arial" w:hAnsi="Arial"/>
                <w:sz w:val="18"/>
              </w:rPr>
              <w:t>Dos páginas y documentación de conexión.</w:t>
            </w:r>
          </w:p>
        </w:tc>
      </w:tr>
    </w:tbl>
    <w:p>
      <w:r>
        <w:rPr>
          <w:b w:val="0"/>
        </w:rPr>
      </w:r>
    </w:p>
    <w:p>
      <w:r>
        <w:rPr>
          <w:b w:val="0"/>
        </w:rPr>
      </w:r>
      <w:hyperlink r:id="rId20">
        <w:r>
          <w:rPr>
            <w:color w:val="0563C1"/>
            <w:u w:val="single"/>
          </w:rPr>
          <w:t>Historial de la versión revisada</w:t>
        </w:r>
      </w:hyperlink>
    </w:p>
    <w:p>
      <w:bookmarkStart w:id="50" w:name="seccion_50"/>
      <w:pPr>
        <w:pStyle w:val="Heading2"/>
      </w:pPr>
      <w:r>
        <w:t>5.6 Contribuciones individuales</w:t>
      </w:r>
      <w:bookmarkEnd w:id="50"/>
    </w:p>
    <w:p>
      <w:r>
        <w:rPr>
          <w:b w:val="0"/>
        </w:rPr>
        <w:t>El reparto recoge las responsabilidades confirmadas por el equipo. Las rutas identifican los artefactos relacionados; su publicación y su elaboración son actividades distintas.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68"/>
            <w:shd w:fill="E7EFF5"/>
            <w:vAlign w:val="center"/>
          </w:tcPr>
          <w:p>
            <w:pPr>
              <w:spacing w:after="60" w:before="40" w:line="240" w:lineRule="auto"/>
            </w:pPr>
            <w:r>
              <w:rPr>
                <w:rFonts w:ascii="Arial" w:hAnsi="Arial"/>
                <w:b/>
                <w:sz w:val="18"/>
              </w:rPr>
              <w:t>RESPONSABLE</w:t>
            </w:r>
          </w:p>
        </w:tc>
        <w:tc>
          <w:tcPr>
            <w:tcW w:type="dxa" w:w="3118"/>
            <w:shd w:fill="E7EFF5"/>
            <w:vAlign w:val="center"/>
          </w:tcPr>
          <w:p>
            <w:pPr>
              <w:spacing w:after="60" w:before="40" w:line="240" w:lineRule="auto"/>
            </w:pPr>
            <w:r>
              <w:rPr>
                <w:rFonts w:ascii="Arial" w:hAnsi="Arial"/>
                <w:b/>
                <w:sz w:val="18"/>
              </w:rPr>
              <w:t>APORTE REGISTRADO</w:t>
            </w:r>
          </w:p>
        </w:tc>
        <w:tc>
          <w:tcPr>
            <w:tcW w:type="dxa" w:w="3912"/>
            <w:shd w:fill="E7EFF5"/>
            <w:vAlign w:val="center"/>
          </w:tcPr>
          <w:p>
            <w:pPr>
              <w:spacing w:after="60" w:before="40" w:line="240" w:lineRule="auto"/>
            </w:pPr>
            <w:r>
              <w:rPr>
                <w:rFonts w:ascii="Arial" w:hAnsi="Arial"/>
                <w:b/>
                <w:sz w:val="18"/>
              </w:rPr>
              <w:t>ARTEFACTO / RESPALDO</w:t>
            </w:r>
          </w:p>
        </w:tc>
      </w:tr>
      <w:tr>
        <w:trPr>
          <w:cantSplit/>
        </w:trPr>
        <w:tc>
          <w:tcPr>
            <w:tcW w:type="dxa" w:w="2268"/>
            <w:vAlign w:val="center"/>
          </w:tcPr>
          <w:p>
            <w:pPr>
              <w:spacing w:after="60" w:before="40" w:line="240" w:lineRule="auto"/>
            </w:pPr>
            <w:r>
              <w:rPr>
                <w:rFonts w:ascii="Arial" w:hAnsi="Arial"/>
                <w:sz w:val="18"/>
              </w:rPr>
              <w:t>Benjamin Alfonso</w:t>
            </w:r>
          </w:p>
        </w:tc>
        <w:tc>
          <w:tcPr>
            <w:tcW w:type="dxa" w:w="3118"/>
            <w:vAlign w:val="center"/>
          </w:tcPr>
          <w:p>
            <w:pPr>
              <w:spacing w:after="60" w:before="40" w:line="240" w:lineRule="auto"/>
            </w:pPr>
            <w:r>
              <w:rPr>
                <w:rFonts w:ascii="Arial" w:hAnsi="Arial"/>
                <w:sz w:val="18"/>
              </w:rPr>
              <w:t>Base de datos.</w:t>
            </w:r>
          </w:p>
        </w:tc>
        <w:tc>
          <w:tcPr>
            <w:tcW w:type="dxa" w:w="3912"/>
            <w:vAlign w:val="center"/>
          </w:tcPr>
          <w:p>
            <w:pPr>
              <w:spacing w:after="60" w:before="40" w:line="240" w:lineRule="auto"/>
            </w:pPr>
            <w:r>
              <w:rPr>
                <w:rFonts w:ascii="Arial" w:hAnsi="Arial"/>
                <w:sz w:val="18"/>
              </w:rPr>
              <w:t>01_Base_Datos/01_Estructura_y_Datos.sql.</w:t>
            </w:r>
          </w:p>
        </w:tc>
      </w:tr>
      <w:tr>
        <w:trPr>
          <w:cantSplit/>
        </w:trPr>
        <w:tc>
          <w:tcPr>
            <w:tcW w:type="dxa" w:w="2268"/>
            <w:vAlign w:val="center"/>
          </w:tcPr>
          <w:p>
            <w:pPr>
              <w:spacing w:after="60" w:before="40" w:line="240" w:lineRule="auto"/>
            </w:pPr>
            <w:r>
              <w:rPr>
                <w:rFonts w:ascii="Arial" w:hAnsi="Arial"/>
                <w:sz w:val="18"/>
              </w:rPr>
              <w:t>Fernando Carhuatanta</w:t>
            </w:r>
          </w:p>
        </w:tc>
        <w:tc>
          <w:tcPr>
            <w:tcW w:type="dxa" w:w="3118"/>
            <w:vAlign w:val="center"/>
          </w:tcPr>
          <w:p>
            <w:pPr>
              <w:spacing w:after="60" w:before="40" w:line="240" w:lineRule="auto"/>
            </w:pPr>
            <w:r>
              <w:rPr>
                <w:rFonts w:ascii="Arial" w:hAnsi="Arial"/>
                <w:sz w:val="18"/>
              </w:rPr>
              <w:t>Elaboración de dashboards.</w:t>
            </w:r>
          </w:p>
        </w:tc>
        <w:tc>
          <w:tcPr>
            <w:tcW w:type="dxa" w:w="3912"/>
            <w:vAlign w:val="center"/>
          </w:tcPr>
          <w:p>
            <w:pPr>
              <w:spacing w:after="60" w:before="40" w:line="240" w:lineRule="auto"/>
            </w:pPr>
            <w:r>
              <w:rPr>
                <w:rFonts w:ascii="Arial" w:hAnsi="Arial"/>
                <w:sz w:val="18"/>
              </w:rPr>
              <w:t>03_Vistas_PowerBI/Reporte_Rendimiento_Personal.pbix.</w:t>
            </w:r>
          </w:p>
        </w:tc>
      </w:tr>
      <w:tr>
        <w:trPr>
          <w:cantSplit/>
        </w:trPr>
        <w:tc>
          <w:tcPr>
            <w:tcW w:type="dxa" w:w="2268"/>
            <w:vAlign w:val="center"/>
          </w:tcPr>
          <w:p>
            <w:pPr>
              <w:spacing w:after="60" w:before="40" w:line="240" w:lineRule="auto"/>
            </w:pPr>
            <w:r>
              <w:rPr>
                <w:rFonts w:ascii="Arial" w:hAnsi="Arial"/>
                <w:sz w:val="18"/>
              </w:rPr>
              <w:t>Victor Paredes</w:t>
            </w:r>
          </w:p>
        </w:tc>
        <w:tc>
          <w:tcPr>
            <w:tcW w:type="dxa" w:w="3118"/>
            <w:vAlign w:val="center"/>
          </w:tcPr>
          <w:p>
            <w:pPr>
              <w:spacing w:after="60" w:before="40" w:line="240" w:lineRule="auto"/>
            </w:pPr>
            <w:r>
              <w:rPr>
                <w:rFonts w:ascii="Arial" w:hAnsi="Arial"/>
                <w:sz w:val="18"/>
              </w:rPr>
              <w:t>Indicadores KPI de la solución BI.</w:t>
            </w:r>
          </w:p>
        </w:tc>
        <w:tc>
          <w:tcPr>
            <w:tcW w:type="dxa" w:w="3912"/>
            <w:vAlign w:val="center"/>
          </w:tcPr>
          <w:p>
            <w:pPr>
              <w:spacing w:after="60" w:before="40" w:line="240" w:lineRule="auto"/>
            </w:pPr>
            <w:r>
              <w:rPr>
                <w:rFonts w:ascii="Arial" w:hAnsi="Arial"/>
                <w:sz w:val="18"/>
              </w:rPr>
              <w:t>11_Indicadores_Dashboard.md y Medidas_PowerBI.dax.</w:t>
            </w:r>
          </w:p>
        </w:tc>
      </w:tr>
      <w:tr>
        <w:trPr>
          <w:cantSplit/>
        </w:trPr>
        <w:tc>
          <w:tcPr>
            <w:tcW w:type="dxa" w:w="2268"/>
            <w:vAlign w:val="center"/>
          </w:tcPr>
          <w:p>
            <w:pPr>
              <w:spacing w:after="60" w:before="40" w:line="240" w:lineRule="auto"/>
            </w:pPr>
            <w:r>
              <w:rPr>
                <w:rFonts w:ascii="Arial" w:hAnsi="Arial"/>
                <w:sz w:val="18"/>
              </w:rPr>
              <w:t>Diego Garrido</w:t>
            </w:r>
          </w:p>
        </w:tc>
        <w:tc>
          <w:tcPr>
            <w:tcW w:type="dxa" w:w="3118"/>
            <w:vAlign w:val="center"/>
          </w:tcPr>
          <w:p>
            <w:pPr>
              <w:spacing w:after="60" w:before="40" w:line="240" w:lineRule="auto"/>
            </w:pPr>
            <w:r>
              <w:rPr>
                <w:rFonts w:ascii="Arial" w:hAnsi="Arial"/>
                <w:sz w:val="18"/>
              </w:rPr>
              <w:t>Revisión de posibles vulnerabilidades del sistema.</w:t>
            </w:r>
          </w:p>
        </w:tc>
        <w:tc>
          <w:tcPr>
            <w:tcW w:type="dxa" w:w="3912"/>
            <w:vAlign w:val="center"/>
          </w:tcPr>
          <w:p>
            <w:pPr>
              <w:spacing w:after="60" w:before="40" w:line="240" w:lineRule="auto"/>
            </w:pPr>
            <w:r>
              <w:rPr>
                <w:rFonts w:ascii="Arial" w:hAnsi="Arial"/>
                <w:sz w:val="18"/>
              </w:rPr>
              <w:t>Revisión de riesgos y seguridad declarada por el equipo; no se adjunta auditoría formal.</w:t>
            </w:r>
          </w:p>
        </w:tc>
      </w:tr>
      <w:tr>
        <w:trPr>
          <w:cantSplit/>
        </w:trPr>
        <w:tc>
          <w:tcPr>
            <w:tcW w:type="dxa" w:w="2268"/>
            <w:vAlign w:val="center"/>
          </w:tcPr>
          <w:p>
            <w:pPr>
              <w:spacing w:after="60" w:before="40" w:line="240" w:lineRule="auto"/>
            </w:pPr>
            <w:r>
              <w:rPr>
                <w:rFonts w:ascii="Arial" w:hAnsi="Arial"/>
                <w:sz w:val="18"/>
              </w:rPr>
              <w:t>Luis Obregón</w:t>
            </w:r>
          </w:p>
        </w:tc>
        <w:tc>
          <w:tcPr>
            <w:tcW w:type="dxa" w:w="3118"/>
            <w:vAlign w:val="center"/>
          </w:tcPr>
          <w:p>
            <w:pPr>
              <w:spacing w:after="60" w:before="40" w:line="240" w:lineRule="auto"/>
            </w:pPr>
            <w:r>
              <w:rPr>
                <w:rFonts w:ascii="Arial" w:hAnsi="Arial"/>
                <w:sz w:val="18"/>
              </w:rPr>
              <w:t>Parte experimental de BI.</w:t>
            </w:r>
          </w:p>
        </w:tc>
        <w:tc>
          <w:tcPr>
            <w:tcW w:type="dxa" w:w="3912"/>
            <w:vAlign w:val="center"/>
          </w:tcPr>
          <w:p>
            <w:pPr>
              <w:spacing w:after="60" w:before="40" w:line="240" w:lineRule="auto"/>
            </w:pPr>
            <w:r>
              <w:rPr>
                <w:rFonts w:ascii="Arial" w:hAnsi="Arial"/>
                <w:sz w:val="18"/>
              </w:rPr>
              <w:t>Diseño de validación y conciliación; 01_Validacion_ETL.sql y evidencias.</w:t>
            </w:r>
          </w:p>
        </w:tc>
      </w:tr>
    </w:tbl>
    <w:p>
      <w:r>
        <w:rPr>
          <w:b w:val="0"/>
        </w:rPr>
      </w:r>
    </w:p>
    <w:p>
      <w:r>
        <w:rPr>
          <w:b w:val="0"/>
        </w:rPr>
        <w:t>El historial conserva los autores registrados de cada cambio. Los aportes fuera de GitHub pueden respaldarse con archivos y revisiones del equipo; no se calculan porcentajes de participación sin un registro que los sustente.</w:t>
      </w:r>
    </w:p>
    <w:p>
      <w:r>
        <w:rPr>
          <w:b w:val="0"/>
        </w:rPr>
      </w:r>
      <w:hyperlink r:id="rId20">
        <w:r>
          <w:rPr>
            <w:color w:val="0563C1"/>
            <w:u w:val="single"/>
          </w:rPr>
          <w:t>Historial de commits</w:t>
        </w:r>
      </w:hyperlink>
      <w:r>
        <w:t xml:space="preserve"> · </w:t>
      </w:r>
      <w:hyperlink r:id="rId21">
        <w:r>
          <w:rPr>
            <w:color w:val="0563C1"/>
            <w:u w:val="single"/>
          </w:rPr>
          <w:t>Pull requests del proyecto</w:t>
        </w:r>
      </w:hyperlink>
    </w:p>
    <w:p>
      <w:bookmarkStart w:id="51" w:name="seccion_51"/>
      <w:pPr>
        <w:pStyle w:val="Heading2"/>
      </w:pPr>
      <w:r>
        <w:t>5.7 Declaración de uso responsable de inteligencia artificial</w:t>
      </w:r>
      <w:bookmarkEnd w:id="51"/>
    </w:p>
    <w:p>
      <w:r>
        <w:rPr>
          <w:b w:val="0"/>
        </w:rPr>
        <w:t>Se utilizó ChatGPT/Codex como apoyo en código T-SQL, revisión de errores y documentación. El documento de trabajo también declara apoyo de Gemini. El equipo conserva la responsabilidad de contrastar fórmulas y resultados con los scripts y evidencias. El anexo I detalla la finalidad, verificación y límites del uso de estas herramientas. E-16.</w:t>
      </w:r>
    </w:p>
    <w:p>
      <w:bookmarkStart w:id="52" w:name="seccion_52"/>
      <w:pPr>
        <w:pStyle w:val="Heading1"/>
      </w:pPr>
      <w:r>
        <w:t>CAPÍTULO VI: EJECUCIÓN, RESULTADOS Y ANÁLISIS DE DATOS</w:t>
      </w:r>
      <w:bookmarkEnd w:id="52"/>
    </w:p>
    <w:p>
      <w:bookmarkStart w:id="53" w:name="seccion_53"/>
      <w:pPr>
        <w:pStyle w:val="Heading2"/>
      </w:pPr>
      <w:r>
        <w:t>6.1 Validación del dataset original y procesado</w:t>
      </w:r>
      <w:bookmarkEnd w:id="53"/>
    </w:p>
    <w:p>
      <w:r>
        <w:rPr>
          <w:b w:val="0"/>
        </w:rPr>
        <w:t>La conciliación se realiza entre el OLTP académico en SQL Server y el Data Mart. El volcado MySQL es la referencia del esquema y el padrón; no es el conjunto de 582 movimientos de cada tipo utilizado en estas pruebas.</w:t>
      </w:r>
    </w:p>
    <w:p>
      <w:pPr>
        <w:pStyle w:val="Caption"/>
      </w:pPr>
      <w:r>
        <w:rPr>
          <w:b w:val="0"/>
        </w:rPr>
        <w:t>Tabla 12. Conciliación por mes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701"/>
            <w:shd w:fill="E7EFF5"/>
            <w:vAlign w:val="center"/>
          </w:tcPr>
          <w:p>
            <w:pPr>
              <w:spacing w:after="60" w:before="40" w:line="240" w:lineRule="auto"/>
            </w:pPr>
            <w:r>
              <w:rPr>
                <w:rFonts w:ascii="Arial" w:hAnsi="Arial"/>
                <w:b/>
                <w:sz w:val="18"/>
              </w:rPr>
              <w:t>MES DE 2026</w:t>
            </w:r>
          </w:p>
        </w:tc>
        <w:tc>
          <w:tcPr>
            <w:tcW w:type="dxa" w:w="1871"/>
            <w:shd w:fill="E7EFF5"/>
            <w:vAlign w:val="center"/>
          </w:tcPr>
          <w:p>
            <w:pPr>
              <w:spacing w:after="60" w:before="40" w:line="240" w:lineRule="auto"/>
            </w:pPr>
            <w:r>
              <w:rPr>
                <w:rFonts w:ascii="Arial" w:hAnsi="Arial"/>
                <w:b/>
                <w:sz w:val="18"/>
              </w:rPr>
              <w:t>ASISTENCIAS OLTP</w:t>
            </w:r>
          </w:p>
        </w:tc>
        <w:tc>
          <w:tcPr>
            <w:tcW w:type="dxa" w:w="2041"/>
            <w:shd w:fill="E7EFF5"/>
            <w:vAlign w:val="center"/>
          </w:tcPr>
          <w:p>
            <w:pPr>
              <w:spacing w:after="60" w:before="40" w:line="240" w:lineRule="auto"/>
            </w:pPr>
            <w:r>
              <w:rPr>
                <w:rFonts w:ascii="Arial" w:hAnsi="Arial"/>
                <w:b/>
                <w:sz w:val="18"/>
              </w:rPr>
              <w:t>ASISTENCIAS DATA MART</w:t>
            </w:r>
          </w:p>
        </w:tc>
        <w:tc>
          <w:tcPr>
            <w:tcW w:type="dxa" w:w="1757"/>
            <w:shd w:fill="E7EFF5"/>
            <w:vAlign w:val="center"/>
          </w:tcPr>
          <w:p>
            <w:pPr>
              <w:spacing w:after="60" w:before="40" w:line="240" w:lineRule="auto"/>
            </w:pPr>
            <w:r>
              <w:rPr>
                <w:rFonts w:ascii="Arial" w:hAnsi="Arial"/>
                <w:b/>
                <w:sz w:val="18"/>
              </w:rPr>
              <w:t>TAREAS OLTP</w:t>
            </w:r>
          </w:p>
        </w:tc>
        <w:tc>
          <w:tcPr>
            <w:tcW w:type="dxa" w:w="1928"/>
            <w:shd w:fill="E7EFF5"/>
            <w:vAlign w:val="center"/>
          </w:tcPr>
          <w:p>
            <w:pPr>
              <w:spacing w:after="60" w:before="40" w:line="240" w:lineRule="auto"/>
            </w:pPr>
            <w:r>
              <w:rPr>
                <w:rFonts w:ascii="Arial" w:hAnsi="Arial"/>
                <w:b/>
                <w:sz w:val="18"/>
              </w:rPr>
              <w:t>TAREAS DATA MART</w:t>
            </w:r>
          </w:p>
        </w:tc>
      </w:tr>
      <w:tr>
        <w:trPr>
          <w:cantSplit/>
        </w:trPr>
        <w:tc>
          <w:tcPr>
            <w:tcW w:type="dxa" w:w="1701"/>
            <w:vAlign w:val="center"/>
          </w:tcPr>
          <w:p>
            <w:pPr>
              <w:spacing w:after="60" w:before="40" w:line="240" w:lineRule="auto"/>
            </w:pPr>
            <w:r>
              <w:rPr>
                <w:rFonts w:ascii="Arial" w:hAnsi="Arial"/>
                <w:sz w:val="18"/>
              </w:rPr>
              <w:t>Julio</w:t>
            </w:r>
          </w:p>
        </w:tc>
        <w:tc>
          <w:tcPr>
            <w:tcW w:type="dxa" w:w="1871"/>
            <w:vAlign w:val="center"/>
          </w:tcPr>
          <w:p>
            <w:pPr>
              <w:spacing w:after="60" w:before="40" w:line="240" w:lineRule="auto"/>
            </w:pPr>
            <w:r>
              <w:rPr>
                <w:rFonts w:ascii="Arial" w:hAnsi="Arial"/>
                <w:sz w:val="18"/>
              </w:rPr>
              <w:t>203</w:t>
            </w:r>
          </w:p>
        </w:tc>
        <w:tc>
          <w:tcPr>
            <w:tcW w:type="dxa" w:w="2041"/>
            <w:vAlign w:val="center"/>
          </w:tcPr>
          <w:p>
            <w:pPr>
              <w:spacing w:after="60" w:before="40" w:line="240" w:lineRule="auto"/>
            </w:pPr>
            <w:r>
              <w:rPr>
                <w:rFonts w:ascii="Arial" w:hAnsi="Arial"/>
                <w:sz w:val="18"/>
              </w:rPr>
              <w:t>203</w:t>
            </w:r>
          </w:p>
        </w:tc>
        <w:tc>
          <w:tcPr>
            <w:tcW w:type="dxa" w:w="1757"/>
            <w:vAlign w:val="center"/>
          </w:tcPr>
          <w:p>
            <w:pPr>
              <w:spacing w:after="60" w:before="40" w:line="240" w:lineRule="auto"/>
            </w:pPr>
            <w:r>
              <w:rPr>
                <w:rFonts w:ascii="Arial" w:hAnsi="Arial"/>
                <w:sz w:val="18"/>
              </w:rPr>
              <w:t>203</w:t>
            </w:r>
          </w:p>
        </w:tc>
        <w:tc>
          <w:tcPr>
            <w:tcW w:type="dxa" w:w="1928"/>
            <w:vAlign w:val="center"/>
          </w:tcPr>
          <w:p>
            <w:pPr>
              <w:spacing w:after="60" w:before="40" w:line="240" w:lineRule="auto"/>
            </w:pPr>
            <w:r>
              <w:rPr>
                <w:rFonts w:ascii="Arial" w:hAnsi="Arial"/>
                <w:sz w:val="18"/>
              </w:rPr>
              <w:t>203</w:t>
            </w:r>
          </w:p>
        </w:tc>
      </w:tr>
      <w:tr>
        <w:trPr>
          <w:cantSplit/>
        </w:trPr>
        <w:tc>
          <w:tcPr>
            <w:tcW w:type="dxa" w:w="1701"/>
            <w:vAlign w:val="center"/>
          </w:tcPr>
          <w:p>
            <w:pPr>
              <w:spacing w:after="60" w:before="40" w:line="240" w:lineRule="auto"/>
            </w:pPr>
            <w:r>
              <w:rPr>
                <w:rFonts w:ascii="Arial" w:hAnsi="Arial"/>
                <w:sz w:val="18"/>
              </w:rPr>
              <w:t>Agosto</w:t>
            </w:r>
          </w:p>
        </w:tc>
        <w:tc>
          <w:tcPr>
            <w:tcW w:type="dxa" w:w="1871"/>
            <w:vAlign w:val="center"/>
          </w:tcPr>
          <w:p>
            <w:pPr>
              <w:spacing w:after="60" w:before="40" w:line="240" w:lineRule="auto"/>
            </w:pPr>
            <w:r>
              <w:rPr>
                <w:rFonts w:ascii="Arial" w:hAnsi="Arial"/>
                <w:sz w:val="18"/>
              </w:rPr>
              <w:t>186</w:t>
            </w:r>
          </w:p>
        </w:tc>
        <w:tc>
          <w:tcPr>
            <w:tcW w:type="dxa" w:w="2041"/>
            <w:vAlign w:val="center"/>
          </w:tcPr>
          <w:p>
            <w:pPr>
              <w:spacing w:after="60" w:before="40" w:line="240" w:lineRule="auto"/>
            </w:pPr>
            <w:r>
              <w:rPr>
                <w:rFonts w:ascii="Arial" w:hAnsi="Arial"/>
                <w:sz w:val="18"/>
              </w:rPr>
              <w:t>186</w:t>
            </w:r>
          </w:p>
        </w:tc>
        <w:tc>
          <w:tcPr>
            <w:tcW w:type="dxa" w:w="1757"/>
            <w:vAlign w:val="center"/>
          </w:tcPr>
          <w:p>
            <w:pPr>
              <w:spacing w:after="60" w:before="40" w:line="240" w:lineRule="auto"/>
            </w:pPr>
            <w:r>
              <w:rPr>
                <w:rFonts w:ascii="Arial" w:hAnsi="Arial"/>
                <w:sz w:val="18"/>
              </w:rPr>
              <w:t>186</w:t>
            </w:r>
          </w:p>
        </w:tc>
        <w:tc>
          <w:tcPr>
            <w:tcW w:type="dxa" w:w="1928"/>
            <w:vAlign w:val="center"/>
          </w:tcPr>
          <w:p>
            <w:pPr>
              <w:spacing w:after="60" w:before="40" w:line="240" w:lineRule="auto"/>
            </w:pPr>
            <w:r>
              <w:rPr>
                <w:rFonts w:ascii="Arial" w:hAnsi="Arial"/>
                <w:sz w:val="18"/>
              </w:rPr>
              <w:t>186</w:t>
            </w:r>
          </w:p>
        </w:tc>
      </w:tr>
      <w:tr>
        <w:trPr>
          <w:cantSplit/>
        </w:trPr>
        <w:tc>
          <w:tcPr>
            <w:tcW w:type="dxa" w:w="1701"/>
            <w:vAlign w:val="center"/>
          </w:tcPr>
          <w:p>
            <w:pPr>
              <w:spacing w:after="60" w:before="40" w:line="240" w:lineRule="auto"/>
            </w:pPr>
            <w:r>
              <w:rPr>
                <w:rFonts w:ascii="Arial" w:hAnsi="Arial"/>
                <w:sz w:val="18"/>
              </w:rPr>
              <w:t>Septiembre</w:t>
            </w:r>
          </w:p>
        </w:tc>
        <w:tc>
          <w:tcPr>
            <w:tcW w:type="dxa" w:w="1871"/>
            <w:vAlign w:val="center"/>
          </w:tcPr>
          <w:p>
            <w:pPr>
              <w:spacing w:after="60" w:before="40" w:line="240" w:lineRule="auto"/>
            </w:pPr>
            <w:r>
              <w:rPr>
                <w:rFonts w:ascii="Arial" w:hAnsi="Arial"/>
                <w:sz w:val="18"/>
              </w:rPr>
              <w:t>193</w:t>
            </w:r>
          </w:p>
        </w:tc>
        <w:tc>
          <w:tcPr>
            <w:tcW w:type="dxa" w:w="2041"/>
            <w:vAlign w:val="center"/>
          </w:tcPr>
          <w:p>
            <w:pPr>
              <w:spacing w:after="60" w:before="40" w:line="240" w:lineRule="auto"/>
            </w:pPr>
            <w:r>
              <w:rPr>
                <w:rFonts w:ascii="Arial" w:hAnsi="Arial"/>
                <w:sz w:val="18"/>
              </w:rPr>
              <w:t>193</w:t>
            </w:r>
          </w:p>
        </w:tc>
        <w:tc>
          <w:tcPr>
            <w:tcW w:type="dxa" w:w="1757"/>
            <w:vAlign w:val="center"/>
          </w:tcPr>
          <w:p>
            <w:pPr>
              <w:spacing w:after="60" w:before="40" w:line="240" w:lineRule="auto"/>
            </w:pPr>
            <w:r>
              <w:rPr>
                <w:rFonts w:ascii="Arial" w:hAnsi="Arial"/>
                <w:sz w:val="18"/>
              </w:rPr>
              <w:t>193</w:t>
            </w:r>
          </w:p>
        </w:tc>
        <w:tc>
          <w:tcPr>
            <w:tcW w:type="dxa" w:w="1928"/>
            <w:vAlign w:val="center"/>
          </w:tcPr>
          <w:p>
            <w:pPr>
              <w:spacing w:after="60" w:before="40" w:line="240" w:lineRule="auto"/>
            </w:pPr>
            <w:r>
              <w:rPr>
                <w:rFonts w:ascii="Arial" w:hAnsi="Arial"/>
                <w:sz w:val="18"/>
              </w:rPr>
              <w:t>193</w:t>
            </w:r>
          </w:p>
        </w:tc>
      </w:tr>
      <w:tr>
        <w:trPr>
          <w:cantSplit/>
        </w:trPr>
        <w:tc>
          <w:tcPr>
            <w:tcW w:type="dxa" w:w="1701"/>
            <w:vAlign w:val="center"/>
          </w:tcPr>
          <w:p>
            <w:pPr>
              <w:spacing w:after="60" w:before="40" w:line="240" w:lineRule="auto"/>
            </w:pPr>
            <w:r>
              <w:rPr>
                <w:rFonts w:ascii="Arial" w:hAnsi="Arial"/>
                <w:sz w:val="18"/>
              </w:rPr>
              <w:t>Total</w:t>
            </w:r>
          </w:p>
        </w:tc>
        <w:tc>
          <w:tcPr>
            <w:tcW w:type="dxa" w:w="1871"/>
            <w:vAlign w:val="center"/>
          </w:tcPr>
          <w:p>
            <w:pPr>
              <w:spacing w:after="60" w:before="40" w:line="240" w:lineRule="auto"/>
            </w:pPr>
            <w:r>
              <w:rPr>
                <w:rFonts w:ascii="Arial" w:hAnsi="Arial"/>
                <w:sz w:val="18"/>
              </w:rPr>
              <w:t>582</w:t>
            </w:r>
          </w:p>
        </w:tc>
        <w:tc>
          <w:tcPr>
            <w:tcW w:type="dxa" w:w="2041"/>
            <w:vAlign w:val="center"/>
          </w:tcPr>
          <w:p>
            <w:pPr>
              <w:spacing w:after="60" w:before="40" w:line="240" w:lineRule="auto"/>
            </w:pPr>
            <w:r>
              <w:rPr>
                <w:rFonts w:ascii="Arial" w:hAnsi="Arial"/>
                <w:sz w:val="18"/>
              </w:rPr>
              <w:t>582</w:t>
            </w:r>
          </w:p>
        </w:tc>
        <w:tc>
          <w:tcPr>
            <w:tcW w:type="dxa" w:w="1757"/>
            <w:vAlign w:val="center"/>
          </w:tcPr>
          <w:p>
            <w:pPr>
              <w:spacing w:after="60" w:before="40" w:line="240" w:lineRule="auto"/>
            </w:pPr>
            <w:r>
              <w:rPr>
                <w:rFonts w:ascii="Arial" w:hAnsi="Arial"/>
                <w:sz w:val="18"/>
              </w:rPr>
              <w:t>582</w:t>
            </w:r>
          </w:p>
        </w:tc>
        <w:tc>
          <w:tcPr>
            <w:tcW w:type="dxa" w:w="1928"/>
            <w:vAlign w:val="center"/>
          </w:tcPr>
          <w:p>
            <w:pPr>
              <w:spacing w:after="60" w:before="40" w:line="240" w:lineRule="auto"/>
            </w:pPr>
            <w:r>
              <w:rPr>
                <w:rFonts w:ascii="Arial" w:hAnsi="Arial"/>
                <w:sz w:val="18"/>
              </w:rPr>
              <w:t>582</w:t>
            </w:r>
          </w:p>
        </w:tc>
      </w:tr>
    </w:tbl>
    <w:p>
      <w:r>
        <w:rPr>
          <w:b w:val="0"/>
        </w:rPr>
      </w:r>
    </w:p>
    <w:p>
      <w:r>
        <w:rPr>
          <w:b w:val="0"/>
        </w:rPr>
        <w:t>En el conjunto inicial se documentan cero registros rechazados y ninguna combinación de claves duplicada. La tabla de hechos tiene 1.164 filas porque almacena separadamente las filas de asistencia/calendario y las de tareas; su número no debe confundirse con la cantidad de empleados. La vista mensual contiene treinta filas: diez personas por tres meses. E-02 y E-10.</w:t>
      </w:r>
    </w:p>
    <w:p>
      <w:bookmarkStart w:id="54" w:name="seccion_54"/>
      <w:pPr>
        <w:pStyle w:val="Heading2"/>
      </w:pPr>
      <w:r>
        <w:t>6.2 Registro de ejecuciones</w:t>
      </w:r>
      <w:bookmarkEnd w:id="54"/>
    </w:p>
    <w:p>
      <w:pPr>
        <w:pStyle w:val="Caption"/>
      </w:pPr>
      <w:r>
        <w:rPr>
          <w:b w:val="0"/>
        </w:rPr>
        <w:t>Tabla 13. Ejecuciones respaldadas por la captura de bitácora</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134"/>
            <w:shd w:fill="E7EFF5"/>
            <w:vAlign w:val="center"/>
          </w:tcPr>
          <w:p>
            <w:pPr>
              <w:spacing w:after="60" w:before="40" w:line="240" w:lineRule="auto"/>
            </w:pPr>
            <w:r>
              <w:rPr>
                <w:rFonts w:ascii="Arial" w:hAnsi="Arial"/>
                <w:b/>
                <w:sz w:val="18"/>
              </w:rPr>
              <w:t>CARGA</w:t>
            </w:r>
          </w:p>
        </w:tc>
        <w:tc>
          <w:tcPr>
            <w:tcW w:type="dxa" w:w="1928"/>
            <w:shd w:fill="E7EFF5"/>
            <w:vAlign w:val="center"/>
          </w:tcPr>
          <w:p>
            <w:pPr>
              <w:spacing w:after="60" w:before="40" w:line="240" w:lineRule="auto"/>
            </w:pPr>
            <w:r>
              <w:rPr>
                <w:rFonts w:ascii="Arial" w:hAnsi="Arial"/>
                <w:b/>
                <w:sz w:val="18"/>
              </w:rPr>
              <w:t>FECHA DE EJECUCIÓN</w:t>
            </w:r>
          </w:p>
        </w:tc>
        <w:tc>
          <w:tcPr>
            <w:tcW w:type="dxa" w:w="1871"/>
            <w:shd w:fill="E7EFF5"/>
            <w:vAlign w:val="center"/>
          </w:tcPr>
          <w:p>
            <w:pPr>
              <w:spacing w:after="60" w:before="40" w:line="240" w:lineRule="auto"/>
            </w:pPr>
            <w:r>
              <w:rPr>
                <w:rFonts w:ascii="Arial" w:hAnsi="Arial"/>
                <w:b/>
                <w:sz w:val="18"/>
              </w:rPr>
              <w:t>INTERVALO</w:t>
            </w:r>
          </w:p>
        </w:tc>
        <w:tc>
          <w:tcPr>
            <w:tcW w:type="dxa" w:w="3231"/>
            <w:shd w:fill="E7EFF5"/>
            <w:vAlign w:val="center"/>
          </w:tcPr>
          <w:p>
            <w:pPr>
              <w:spacing w:after="60" w:before="40" w:line="240" w:lineRule="auto"/>
            </w:pPr>
            <w:r>
              <w:rPr>
                <w:rFonts w:ascii="Arial" w:hAnsi="Arial"/>
                <w:b/>
                <w:sz w:val="18"/>
              </w:rPr>
              <w:t>RESULTADO</w:t>
            </w:r>
          </w:p>
        </w:tc>
        <w:tc>
          <w:tcPr>
            <w:tcW w:type="dxa" w:w="1134"/>
            <w:shd w:fill="E7EFF5"/>
            <w:vAlign w:val="center"/>
          </w:tcPr>
          <w:p>
            <w:pPr>
              <w:spacing w:after="60" w:before="40" w:line="240" w:lineRule="auto"/>
            </w:pPr>
            <w:r>
              <w:rPr>
                <w:rFonts w:ascii="Arial" w:hAnsi="Arial"/>
                <w:b/>
                <w:sz w:val="18"/>
              </w:rPr>
              <w:t>EVIDENCIA</w:t>
            </w:r>
          </w:p>
        </w:tc>
      </w:tr>
      <w:tr>
        <w:trPr>
          <w:cantSplit/>
        </w:trPr>
        <w:tc>
          <w:tcPr>
            <w:tcW w:type="dxa" w:w="1134"/>
            <w:vAlign w:val="center"/>
          </w:tcPr>
          <w:p>
            <w:pPr>
              <w:spacing w:after="60" w:before="40" w:line="240" w:lineRule="auto"/>
            </w:pPr>
            <w:r>
              <w:rPr>
                <w:rFonts w:ascii="Arial" w:hAnsi="Arial"/>
                <w:sz w:val="18"/>
              </w:rPr>
              <w:t>id_carga 4</w:t>
            </w:r>
          </w:p>
        </w:tc>
        <w:tc>
          <w:tcPr>
            <w:tcW w:type="dxa" w:w="1928"/>
            <w:vAlign w:val="center"/>
          </w:tcPr>
          <w:p>
            <w:pPr>
              <w:spacing w:after="60" w:before="40" w:line="240" w:lineRule="auto"/>
            </w:pPr>
            <w:r>
              <w:rPr>
                <w:rFonts w:ascii="Arial" w:hAnsi="Arial"/>
                <w:sz w:val="18"/>
              </w:rPr>
              <w:t>22/10/2026, 00:36:14</w:t>
            </w:r>
          </w:p>
        </w:tc>
        <w:tc>
          <w:tcPr>
            <w:tcW w:type="dxa" w:w="1871"/>
            <w:vAlign w:val="center"/>
          </w:tcPr>
          <w:p>
            <w:pPr>
              <w:spacing w:after="60" w:before="40" w:line="240" w:lineRule="auto"/>
            </w:pPr>
            <w:r>
              <w:rPr>
                <w:rFonts w:ascii="Arial" w:hAnsi="Arial"/>
                <w:sz w:val="18"/>
              </w:rPr>
              <w:t>01/07/2026–30/09/2026</w:t>
            </w:r>
          </w:p>
        </w:tc>
        <w:tc>
          <w:tcPr>
            <w:tcW w:type="dxa" w:w="3231"/>
            <w:vAlign w:val="center"/>
          </w:tcPr>
          <w:p>
            <w:pPr>
              <w:spacing w:after="60" w:before="40" w:line="240" w:lineRule="auto"/>
            </w:pPr>
            <w:r>
              <w:rPr>
                <w:rFonts w:ascii="Arial" w:hAnsi="Arial"/>
                <w:sz w:val="18"/>
              </w:rPr>
              <w:t>Completada; 582 asistencias, 582 tareas, 0 rechazos, 1.164 filas.</w:t>
            </w:r>
          </w:p>
        </w:tc>
        <w:tc>
          <w:tcPr>
            <w:tcW w:type="dxa" w:w="1134"/>
            <w:vAlign w:val="center"/>
          </w:tcPr>
          <w:p>
            <w:pPr>
              <w:spacing w:after="60" w:before="40" w:line="240" w:lineRule="auto"/>
            </w:pPr>
            <w:r>
              <w:rPr>
                <w:rFonts w:ascii="Arial" w:hAnsi="Arial"/>
                <w:sz w:val="18"/>
              </w:rPr>
              <w:t>E-10</w:t>
            </w:r>
          </w:p>
        </w:tc>
      </w:tr>
      <w:tr>
        <w:trPr>
          <w:cantSplit/>
        </w:trPr>
        <w:tc>
          <w:tcPr>
            <w:tcW w:type="dxa" w:w="1134"/>
            <w:vAlign w:val="center"/>
          </w:tcPr>
          <w:p>
            <w:pPr>
              <w:spacing w:after="60" w:before="40" w:line="240" w:lineRule="auto"/>
            </w:pPr>
            <w:r>
              <w:rPr>
                <w:rFonts w:ascii="Arial" w:hAnsi="Arial"/>
                <w:sz w:val="18"/>
              </w:rPr>
              <w:t>id_carga 5</w:t>
            </w:r>
          </w:p>
        </w:tc>
        <w:tc>
          <w:tcPr>
            <w:tcW w:type="dxa" w:w="1928"/>
            <w:vAlign w:val="center"/>
          </w:tcPr>
          <w:p>
            <w:pPr>
              <w:spacing w:after="60" w:before="40" w:line="240" w:lineRule="auto"/>
            </w:pPr>
            <w:r>
              <w:rPr>
                <w:rFonts w:ascii="Arial" w:hAnsi="Arial"/>
                <w:sz w:val="18"/>
              </w:rPr>
              <w:t>22/10/2026, 00:36:14</w:t>
            </w:r>
          </w:p>
        </w:tc>
        <w:tc>
          <w:tcPr>
            <w:tcW w:type="dxa" w:w="1871"/>
            <w:vAlign w:val="center"/>
          </w:tcPr>
          <w:p>
            <w:pPr>
              <w:spacing w:after="60" w:before="40" w:line="240" w:lineRule="auto"/>
            </w:pPr>
            <w:r>
              <w:rPr>
                <w:rFonts w:ascii="Arial" w:hAnsi="Arial"/>
                <w:sz w:val="18"/>
              </w:rPr>
              <w:t>01/07/2026–30/09/2026</w:t>
            </w:r>
          </w:p>
        </w:tc>
        <w:tc>
          <w:tcPr>
            <w:tcW w:type="dxa" w:w="3231"/>
            <w:vAlign w:val="center"/>
          </w:tcPr>
          <w:p>
            <w:pPr>
              <w:spacing w:after="60" w:before="40" w:line="240" w:lineRule="auto"/>
            </w:pPr>
            <w:r>
              <w:rPr>
                <w:rFonts w:ascii="Arial" w:hAnsi="Arial"/>
                <w:sz w:val="18"/>
              </w:rPr>
              <w:t>Completada; mismas cantidades y medidas.</w:t>
            </w:r>
          </w:p>
        </w:tc>
        <w:tc>
          <w:tcPr>
            <w:tcW w:type="dxa" w:w="1134"/>
            <w:vAlign w:val="center"/>
          </w:tcPr>
          <w:p>
            <w:pPr>
              <w:spacing w:after="60" w:before="40" w:line="240" w:lineRule="auto"/>
            </w:pPr>
            <w:r>
              <w:rPr>
                <w:rFonts w:ascii="Arial" w:hAnsi="Arial"/>
                <w:sz w:val="18"/>
              </w:rPr>
              <w:t>E-09 / E-10</w:t>
            </w:r>
          </w:p>
        </w:tc>
      </w:tr>
    </w:tbl>
    <w:p>
      <w:r>
        <w:rPr>
          <w:b w:val="0"/>
        </w:rPr>
      </w:r>
    </w:p>
    <w:p>
      <w:r>
        <w:rPr>
          <w:b w:val="0"/>
        </w:rPr>
        <w:t>Los identificadores y las horas se transcriben de la captura publicada, no de una ejecución nueva realizada para redactar este documento. La versión 9726a54 conserva los artefactos y la evidencia; no se afirma que ese commit posterior fuera el que estaba seleccionado al tomar la captura.</w:t>
      </w:r>
    </w:p>
    <w:p>
      <w:pPr>
        <w:keepNext/>
        <w:jc w:val="center"/>
      </w:pPr>
      <w:r>
        <w:rPr>
          <w:b w:val="0"/>
        </w:rPr>
      </w:r>
      <w:r>
        <w:drawing>
          <wp:inline xmlns:a="http://schemas.openxmlformats.org/drawingml/2006/main" xmlns:pic="http://schemas.openxmlformats.org/drawingml/2006/picture">
            <wp:extent cx="5903999" cy="4146010"/>
            <wp:docPr id="5" name="Picture 5"/>
            <wp:cNvGraphicFramePr>
              <a:graphicFrameLocks noChangeAspect="1"/>
            </wp:cNvGraphicFramePr>
            <a:graphic>
              <a:graphicData uri="http://schemas.openxmlformats.org/drawingml/2006/picture">
                <pic:pic>
                  <pic:nvPicPr>
                    <pic:cNvPr id="0" name="05_Conciliacion_Idempotencia.png"/>
                    <pic:cNvPicPr/>
                  </pic:nvPicPr>
                  <pic:blipFill>
                    <a:blip r:embed="rId22"/>
                    <a:stretch>
                      <a:fillRect/>
                    </a:stretch>
                  </pic:blipFill>
                  <pic:spPr>
                    <a:xfrm>
                      <a:off x="0" y="0"/>
                      <a:ext cx="5903999" cy="4146010"/>
                    </a:xfrm>
                    <a:prstGeom prst="rect"/>
                  </pic:spPr>
                </pic:pic>
              </a:graphicData>
            </a:graphic>
          </wp:inline>
        </w:drawing>
      </w:r>
    </w:p>
    <w:p>
      <w:pPr>
        <w:pStyle w:val="Caption"/>
        <w:keepNext w:val="0"/>
      </w:pPr>
      <w:r>
        <w:rPr>
          <w:b w:val="0"/>
        </w:rPr>
        <w:t>Figura 4. Conciliación e igualdad de dos cargas del trimestre. E-09 / E-10. Fuente: captura de SSMS publicada en GitHub.</w:t>
      </w:r>
    </w:p>
    <w:p>
      <w:bookmarkStart w:id="55" w:name="seccion_55"/>
      <w:pPr>
        <w:pStyle w:val="Heading2"/>
      </w:pPr>
      <w:r>
        <w:t>6.3 Tabla consolidada de resultados</w:t>
      </w:r>
      <w:bookmarkEnd w:id="55"/>
    </w:p>
    <w:p>
      <w:pPr>
        <w:pStyle w:val="Caption"/>
      </w:pPr>
      <w:r>
        <w:rPr>
          <w:b w:val="0"/>
        </w:rPr>
        <w:t>Tabla 14. Resultados de los escenarios BI</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417"/>
            <w:shd w:fill="E7EFF5"/>
            <w:vAlign w:val="center"/>
          </w:tcPr>
          <w:p>
            <w:pPr>
              <w:spacing w:after="60" w:before="40" w:line="240" w:lineRule="auto"/>
            </w:pPr>
            <w:r>
              <w:rPr>
                <w:rFonts w:ascii="Arial" w:hAnsi="Arial"/>
                <w:b/>
                <w:sz w:val="18"/>
              </w:rPr>
              <w:t>ESCENARIO</w:t>
            </w:r>
          </w:p>
        </w:tc>
        <w:tc>
          <w:tcPr>
            <w:tcW w:type="dxa" w:w="2891"/>
            <w:shd w:fill="E7EFF5"/>
            <w:vAlign w:val="center"/>
          </w:tcPr>
          <w:p>
            <w:pPr>
              <w:spacing w:after="60" w:before="40" w:line="240" w:lineRule="auto"/>
            </w:pPr>
            <w:r>
              <w:rPr>
                <w:rFonts w:ascii="Arial" w:hAnsi="Arial"/>
                <w:b/>
                <w:sz w:val="18"/>
              </w:rPr>
              <w:t>MÉTRICA</w:t>
            </w:r>
          </w:p>
        </w:tc>
        <w:tc>
          <w:tcPr>
            <w:tcW w:type="dxa" w:w="2608"/>
            <w:shd w:fill="E7EFF5"/>
            <w:vAlign w:val="center"/>
          </w:tcPr>
          <w:p>
            <w:pPr>
              <w:spacing w:after="60" w:before="40" w:line="240" w:lineRule="auto"/>
            </w:pPr>
            <w:r>
              <w:rPr>
                <w:rFonts w:ascii="Arial" w:hAnsi="Arial"/>
                <w:b/>
                <w:sz w:val="18"/>
              </w:rPr>
              <w:t>RESULTADO</w:t>
            </w:r>
          </w:p>
        </w:tc>
        <w:tc>
          <w:tcPr>
            <w:tcW w:type="dxa" w:w="2381"/>
            <w:shd w:fill="E7EFF5"/>
            <w:vAlign w:val="center"/>
          </w:tcPr>
          <w:p>
            <w:pPr>
              <w:spacing w:after="60" w:before="40" w:line="240" w:lineRule="auto"/>
            </w:pPr>
            <w:r>
              <w:rPr>
                <w:rFonts w:ascii="Arial" w:hAnsi="Arial"/>
                <w:b/>
                <w:sz w:val="18"/>
              </w:rPr>
              <w:t>INTERPRETACIÓN</w:t>
            </w:r>
          </w:p>
        </w:tc>
      </w:tr>
      <w:tr>
        <w:trPr>
          <w:cantSplit/>
        </w:trPr>
        <w:tc>
          <w:tcPr>
            <w:tcW w:type="dxa" w:w="1417"/>
            <w:vAlign w:val="center"/>
          </w:tcPr>
          <w:p>
            <w:pPr>
              <w:spacing w:after="60" w:before="40" w:line="240" w:lineRule="auto"/>
            </w:pPr>
            <w:r>
              <w:rPr>
                <w:rFonts w:ascii="Arial" w:hAnsi="Arial"/>
                <w:sz w:val="18"/>
              </w:rPr>
              <w:t>EXP-01</w:t>
            </w:r>
          </w:p>
        </w:tc>
        <w:tc>
          <w:tcPr>
            <w:tcW w:type="dxa" w:w="2891"/>
            <w:vAlign w:val="center"/>
          </w:tcPr>
          <w:p>
            <w:pPr>
              <w:spacing w:after="60" w:before="40" w:line="240" w:lineRule="auto"/>
            </w:pPr>
            <w:r>
              <w:rPr>
                <w:rFonts w:ascii="Arial" w:hAnsi="Arial"/>
                <w:sz w:val="18"/>
              </w:rPr>
              <w:t>Diferencia origen–destino, julio.</w:t>
            </w:r>
          </w:p>
        </w:tc>
        <w:tc>
          <w:tcPr>
            <w:tcW w:type="dxa" w:w="2608"/>
            <w:vAlign w:val="center"/>
          </w:tcPr>
          <w:p>
            <w:pPr>
              <w:spacing w:after="60" w:before="40" w:line="240" w:lineRule="auto"/>
            </w:pPr>
            <w:r>
              <w:rPr>
                <w:rFonts w:ascii="Arial" w:hAnsi="Arial"/>
                <w:sz w:val="18"/>
              </w:rPr>
              <w:t>0 asistencias; 0 tareas.</w:t>
            </w:r>
          </w:p>
        </w:tc>
        <w:tc>
          <w:tcPr>
            <w:tcW w:type="dxa" w:w="2381"/>
            <w:vAlign w:val="center"/>
          </w:tcPr>
          <w:p>
            <w:pPr>
              <w:spacing w:after="60" w:before="40" w:line="240" w:lineRule="auto"/>
            </w:pPr>
            <w:r>
              <w:rPr>
                <w:rFonts w:ascii="Arial" w:hAnsi="Arial"/>
                <w:sz w:val="18"/>
              </w:rPr>
              <w:t>203 registros de cada tipo conservados.</w:t>
            </w:r>
          </w:p>
        </w:tc>
      </w:tr>
      <w:tr>
        <w:trPr>
          <w:cantSplit/>
        </w:trPr>
        <w:tc>
          <w:tcPr>
            <w:tcW w:type="dxa" w:w="1417"/>
            <w:vAlign w:val="center"/>
          </w:tcPr>
          <w:p>
            <w:pPr>
              <w:spacing w:after="60" w:before="40" w:line="240" w:lineRule="auto"/>
            </w:pPr>
            <w:r>
              <w:rPr>
                <w:rFonts w:ascii="Arial" w:hAnsi="Arial"/>
                <w:sz w:val="18"/>
              </w:rPr>
              <w:t>EXP-02</w:t>
            </w:r>
          </w:p>
        </w:tc>
        <w:tc>
          <w:tcPr>
            <w:tcW w:type="dxa" w:w="2891"/>
            <w:vAlign w:val="center"/>
          </w:tcPr>
          <w:p>
            <w:pPr>
              <w:spacing w:after="60" w:before="40" w:line="240" w:lineRule="auto"/>
            </w:pPr>
            <w:r>
              <w:rPr>
                <w:rFonts w:ascii="Arial" w:hAnsi="Arial"/>
                <w:sz w:val="18"/>
              </w:rPr>
              <w:t>Diferencia origen–destino, agosto.</w:t>
            </w:r>
          </w:p>
        </w:tc>
        <w:tc>
          <w:tcPr>
            <w:tcW w:type="dxa" w:w="2608"/>
            <w:vAlign w:val="center"/>
          </w:tcPr>
          <w:p>
            <w:pPr>
              <w:spacing w:after="60" w:before="40" w:line="240" w:lineRule="auto"/>
            </w:pPr>
            <w:r>
              <w:rPr>
                <w:rFonts w:ascii="Arial" w:hAnsi="Arial"/>
                <w:sz w:val="18"/>
              </w:rPr>
              <w:t>0 asistencias; 0 tareas.</w:t>
            </w:r>
          </w:p>
        </w:tc>
        <w:tc>
          <w:tcPr>
            <w:tcW w:type="dxa" w:w="2381"/>
            <w:vAlign w:val="center"/>
          </w:tcPr>
          <w:p>
            <w:pPr>
              <w:spacing w:after="60" w:before="40" w:line="240" w:lineRule="auto"/>
            </w:pPr>
            <w:r>
              <w:rPr>
                <w:rFonts w:ascii="Arial" w:hAnsi="Arial"/>
                <w:sz w:val="18"/>
              </w:rPr>
              <w:t>186 registros de cada tipo conservados.</w:t>
            </w:r>
          </w:p>
        </w:tc>
      </w:tr>
      <w:tr>
        <w:trPr>
          <w:cantSplit/>
        </w:trPr>
        <w:tc>
          <w:tcPr>
            <w:tcW w:type="dxa" w:w="1417"/>
            <w:vAlign w:val="center"/>
          </w:tcPr>
          <w:p>
            <w:pPr>
              <w:spacing w:after="60" w:before="40" w:line="240" w:lineRule="auto"/>
            </w:pPr>
            <w:r>
              <w:rPr>
                <w:rFonts w:ascii="Arial" w:hAnsi="Arial"/>
                <w:sz w:val="18"/>
              </w:rPr>
              <w:t>EXP-03</w:t>
            </w:r>
          </w:p>
        </w:tc>
        <w:tc>
          <w:tcPr>
            <w:tcW w:type="dxa" w:w="2891"/>
            <w:vAlign w:val="center"/>
          </w:tcPr>
          <w:p>
            <w:pPr>
              <w:spacing w:after="60" w:before="40" w:line="240" w:lineRule="auto"/>
            </w:pPr>
            <w:r>
              <w:rPr>
                <w:rFonts w:ascii="Arial" w:hAnsi="Arial"/>
                <w:sz w:val="18"/>
              </w:rPr>
              <w:t>Diferencia origen–destino, septiembre.</w:t>
            </w:r>
          </w:p>
        </w:tc>
        <w:tc>
          <w:tcPr>
            <w:tcW w:type="dxa" w:w="2608"/>
            <w:vAlign w:val="center"/>
          </w:tcPr>
          <w:p>
            <w:pPr>
              <w:spacing w:after="60" w:before="40" w:line="240" w:lineRule="auto"/>
            </w:pPr>
            <w:r>
              <w:rPr>
                <w:rFonts w:ascii="Arial" w:hAnsi="Arial"/>
                <w:sz w:val="18"/>
              </w:rPr>
              <w:t>0 asistencias; 0 tareas.</w:t>
            </w:r>
          </w:p>
        </w:tc>
        <w:tc>
          <w:tcPr>
            <w:tcW w:type="dxa" w:w="2381"/>
            <w:vAlign w:val="center"/>
          </w:tcPr>
          <w:p>
            <w:pPr>
              <w:spacing w:after="60" w:before="40" w:line="240" w:lineRule="auto"/>
            </w:pPr>
            <w:r>
              <w:rPr>
                <w:rFonts w:ascii="Arial" w:hAnsi="Arial"/>
                <w:sz w:val="18"/>
              </w:rPr>
              <w:t>193 registros de cada tipo conservados.</w:t>
            </w:r>
          </w:p>
        </w:tc>
      </w:tr>
      <w:tr>
        <w:trPr>
          <w:cantSplit/>
        </w:trPr>
        <w:tc>
          <w:tcPr>
            <w:tcW w:type="dxa" w:w="1417"/>
            <w:vAlign w:val="center"/>
          </w:tcPr>
          <w:p>
            <w:pPr>
              <w:spacing w:after="60" w:before="40" w:line="240" w:lineRule="auto"/>
            </w:pPr>
            <w:r>
              <w:rPr>
                <w:rFonts w:ascii="Arial" w:hAnsi="Arial"/>
                <w:sz w:val="18"/>
              </w:rPr>
              <w:t>EXP-04</w:t>
            </w:r>
          </w:p>
        </w:tc>
        <w:tc>
          <w:tcPr>
            <w:tcW w:type="dxa" w:w="2891"/>
            <w:vAlign w:val="center"/>
          </w:tcPr>
          <w:p>
            <w:pPr>
              <w:spacing w:after="60" w:before="40" w:line="240" w:lineRule="auto"/>
            </w:pPr>
            <w:r>
              <w:rPr>
                <w:rFonts w:ascii="Arial" w:hAnsi="Arial"/>
                <w:sz w:val="18"/>
              </w:rPr>
              <w:t>Diferencia entre cargas.</w:t>
            </w:r>
          </w:p>
        </w:tc>
        <w:tc>
          <w:tcPr>
            <w:tcW w:type="dxa" w:w="2608"/>
            <w:vAlign w:val="center"/>
          </w:tcPr>
          <w:p>
            <w:pPr>
              <w:spacing w:after="60" w:before="40" w:line="240" w:lineRule="auto"/>
            </w:pPr>
            <w:r>
              <w:rPr>
                <w:rFonts w:ascii="Arial" w:hAnsi="Arial"/>
                <w:sz w:val="18"/>
              </w:rPr>
              <w:t>Sin diferencias en las claves y medidas comparadas.</w:t>
            </w:r>
          </w:p>
        </w:tc>
        <w:tc>
          <w:tcPr>
            <w:tcW w:type="dxa" w:w="2381"/>
            <w:vAlign w:val="center"/>
          </w:tcPr>
          <w:p>
            <w:pPr>
              <w:spacing w:after="60" w:before="40" w:line="240" w:lineRule="auto"/>
            </w:pPr>
            <w:r>
              <w:rPr>
                <w:rFonts w:ascii="Arial" w:hAnsi="Arial"/>
                <w:sz w:val="18"/>
              </w:rPr>
              <w:t>Repetición sin acumulación de medidas.</w:t>
            </w:r>
          </w:p>
        </w:tc>
      </w:tr>
      <w:tr>
        <w:trPr>
          <w:cantSplit/>
        </w:trPr>
        <w:tc>
          <w:tcPr>
            <w:tcW w:type="dxa" w:w="1417"/>
            <w:vAlign w:val="center"/>
          </w:tcPr>
          <w:p>
            <w:pPr>
              <w:spacing w:after="60" w:before="40" w:line="240" w:lineRule="auto"/>
            </w:pPr>
            <w:r>
              <w:rPr>
                <w:rFonts w:ascii="Arial" w:hAnsi="Arial"/>
                <w:sz w:val="18"/>
              </w:rPr>
              <w:t>Conjunto completo</w:t>
            </w:r>
          </w:p>
        </w:tc>
        <w:tc>
          <w:tcPr>
            <w:tcW w:type="dxa" w:w="2891"/>
            <w:vAlign w:val="center"/>
          </w:tcPr>
          <w:p>
            <w:pPr>
              <w:spacing w:after="60" w:before="40" w:line="240" w:lineRule="auto"/>
            </w:pPr>
            <w:r>
              <w:rPr>
                <w:rFonts w:ascii="Arial" w:hAnsi="Arial"/>
                <w:sz w:val="18"/>
              </w:rPr>
              <w:t>Rechazos / grupos duplicados.</w:t>
            </w:r>
          </w:p>
        </w:tc>
        <w:tc>
          <w:tcPr>
            <w:tcW w:type="dxa" w:w="2608"/>
            <w:vAlign w:val="center"/>
          </w:tcPr>
          <w:p>
            <w:pPr>
              <w:spacing w:after="60" w:before="40" w:line="240" w:lineRule="auto"/>
            </w:pPr>
            <w:r>
              <w:rPr>
                <w:rFonts w:ascii="Arial" w:hAnsi="Arial"/>
                <w:sz w:val="18"/>
              </w:rPr>
              <w:t>0 / 0 en la evidencia publicada.</w:t>
            </w:r>
          </w:p>
        </w:tc>
        <w:tc>
          <w:tcPr>
            <w:tcW w:type="dxa" w:w="2381"/>
            <w:vAlign w:val="center"/>
          </w:tcPr>
          <w:p>
            <w:pPr>
              <w:spacing w:after="60" w:before="40" w:line="240" w:lineRule="auto"/>
            </w:pPr>
            <w:r>
              <w:rPr>
                <w:rFonts w:ascii="Arial" w:hAnsi="Arial"/>
                <w:sz w:val="18"/>
              </w:rPr>
              <w:t>Cumple los controles del conjunto inicial.</w:t>
            </w:r>
          </w:p>
        </w:tc>
      </w:tr>
    </w:tbl>
    <w:p>
      <w:r>
        <w:rPr>
          <w:b w:val="0"/>
        </w:rPr>
      </w:r>
    </w:p>
    <w:p>
      <w:r>
        <w:rPr>
          <w:b w:val="0"/>
        </w:rPr>
        <w:t>Las métricas son conteos deterministas de calidad. Se muestran dos ejecuciones para la repetibilidad; no se calcula desviación estándar de tiempos ni throughput porque no existe una serie de mediciones con la resolución necesaria.</w:t>
      </w:r>
    </w:p>
    <w:p>
      <w:pPr>
        <w:pStyle w:val="Caption"/>
      </w:pPr>
      <w:r>
        <w:rPr>
          <w:b w:val="0"/>
        </w:rPr>
        <w:t>Tabla 15. Indicadores globales del trimestre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324"/>
            <w:shd w:fill="E7EFF5"/>
            <w:vAlign w:val="center"/>
          </w:tcPr>
          <w:p>
            <w:pPr>
              <w:spacing w:after="60" w:before="40" w:line="240" w:lineRule="auto"/>
            </w:pPr>
            <w:r>
              <w:rPr>
                <w:rFonts w:ascii="Arial" w:hAnsi="Arial"/>
                <w:b/>
                <w:sz w:val="18"/>
              </w:rPr>
              <w:t>MEDIDA</w:t>
            </w:r>
          </w:p>
        </w:tc>
        <w:tc>
          <w:tcPr>
            <w:tcW w:type="dxa" w:w="2098"/>
            <w:shd w:fill="E7EFF5"/>
            <w:vAlign w:val="center"/>
          </w:tcPr>
          <w:p>
            <w:pPr>
              <w:spacing w:after="60" w:before="40" w:line="240" w:lineRule="auto"/>
            </w:pPr>
            <w:r>
              <w:rPr>
                <w:rFonts w:ascii="Arial" w:hAnsi="Arial"/>
                <w:b/>
                <w:sz w:val="18"/>
              </w:rPr>
              <w:t>VALOR</w:t>
            </w:r>
          </w:p>
        </w:tc>
        <w:tc>
          <w:tcPr>
            <w:tcW w:type="dxa" w:w="4876"/>
            <w:shd w:fill="E7EFF5"/>
            <w:vAlign w:val="center"/>
          </w:tcPr>
          <w:p>
            <w:pPr>
              <w:spacing w:after="60" w:before="40" w:line="240" w:lineRule="auto"/>
            </w:pPr>
            <w:r>
              <w:rPr>
                <w:rFonts w:ascii="Arial" w:hAnsi="Arial"/>
                <w:b/>
                <w:sz w:val="18"/>
              </w:rPr>
              <w:t>BASE DE CÁLCULO</w:t>
            </w:r>
          </w:p>
        </w:tc>
      </w:tr>
      <w:tr>
        <w:trPr>
          <w:cantSplit/>
        </w:trPr>
        <w:tc>
          <w:tcPr>
            <w:tcW w:type="dxa" w:w="2324"/>
            <w:vAlign w:val="center"/>
          </w:tcPr>
          <w:p>
            <w:pPr>
              <w:spacing w:after="60" w:before="40" w:line="240" w:lineRule="auto"/>
            </w:pPr>
            <w:r>
              <w:rPr>
                <w:rFonts w:ascii="Arial" w:hAnsi="Arial"/>
                <w:sz w:val="18"/>
              </w:rPr>
              <w:t>Total asistencias</w:t>
            </w:r>
          </w:p>
        </w:tc>
        <w:tc>
          <w:tcPr>
            <w:tcW w:type="dxa" w:w="2098"/>
            <w:vAlign w:val="center"/>
          </w:tcPr>
          <w:p>
            <w:pPr>
              <w:spacing w:after="60" w:before="40" w:line="240" w:lineRule="auto"/>
            </w:pPr>
            <w:r>
              <w:rPr>
                <w:rFonts w:ascii="Arial" w:hAnsi="Arial"/>
                <w:sz w:val="18"/>
              </w:rPr>
              <w:t>582</w:t>
            </w:r>
          </w:p>
        </w:tc>
        <w:tc>
          <w:tcPr>
            <w:tcW w:type="dxa" w:w="4876"/>
            <w:vAlign w:val="center"/>
          </w:tcPr>
          <w:p>
            <w:pPr>
              <w:spacing w:after="60" w:before="40" w:line="240" w:lineRule="auto"/>
            </w:pPr>
            <w:r>
              <w:rPr>
                <w:rFonts w:ascii="Arial" w:hAnsi="Arial"/>
                <w:sz w:val="18"/>
              </w:rPr>
              <w:t>Suma de marcaciones válidas.</w:t>
            </w:r>
          </w:p>
        </w:tc>
      </w:tr>
      <w:tr>
        <w:trPr>
          <w:cantSplit/>
        </w:trPr>
        <w:tc>
          <w:tcPr>
            <w:tcW w:type="dxa" w:w="2324"/>
            <w:vAlign w:val="center"/>
          </w:tcPr>
          <w:p>
            <w:pPr>
              <w:spacing w:after="60" w:before="40" w:line="240" w:lineRule="auto"/>
            </w:pPr>
            <w:r>
              <w:rPr>
                <w:rFonts w:ascii="Arial" w:hAnsi="Arial"/>
                <w:sz w:val="18"/>
              </w:rPr>
              <w:t>Total tareas</w:t>
            </w:r>
          </w:p>
        </w:tc>
        <w:tc>
          <w:tcPr>
            <w:tcW w:type="dxa" w:w="2098"/>
            <w:vAlign w:val="center"/>
          </w:tcPr>
          <w:p>
            <w:pPr>
              <w:spacing w:after="60" w:before="40" w:line="240" w:lineRule="auto"/>
            </w:pPr>
            <w:r>
              <w:rPr>
                <w:rFonts w:ascii="Arial" w:hAnsi="Arial"/>
                <w:sz w:val="18"/>
              </w:rPr>
              <w:t>582</w:t>
            </w:r>
          </w:p>
        </w:tc>
        <w:tc>
          <w:tcPr>
            <w:tcW w:type="dxa" w:w="4876"/>
            <w:vAlign w:val="center"/>
          </w:tcPr>
          <w:p>
            <w:pPr>
              <w:spacing w:after="60" w:before="40" w:line="240" w:lineRule="auto"/>
            </w:pPr>
            <w:r>
              <w:rPr>
                <w:rFonts w:ascii="Arial" w:hAnsi="Arial"/>
                <w:sz w:val="18"/>
              </w:rPr>
              <w:t>Suma de tareas válidas asignadas.</w:t>
            </w:r>
          </w:p>
        </w:tc>
      </w:tr>
      <w:tr>
        <w:trPr>
          <w:cantSplit/>
        </w:trPr>
        <w:tc>
          <w:tcPr>
            <w:tcW w:type="dxa" w:w="2324"/>
            <w:vAlign w:val="center"/>
          </w:tcPr>
          <w:p>
            <w:pPr>
              <w:spacing w:after="60" w:before="40" w:line="240" w:lineRule="auto"/>
            </w:pPr>
            <w:r>
              <w:rPr>
                <w:rFonts w:ascii="Arial" w:hAnsi="Arial"/>
                <w:sz w:val="18"/>
              </w:rPr>
              <w:t>TPA</w:t>
            </w:r>
          </w:p>
        </w:tc>
        <w:tc>
          <w:tcPr>
            <w:tcW w:type="dxa" w:w="2098"/>
            <w:vAlign w:val="center"/>
          </w:tcPr>
          <w:p>
            <w:pPr>
              <w:spacing w:after="60" w:before="40" w:line="240" w:lineRule="auto"/>
            </w:pPr>
            <w:r>
              <w:rPr>
                <w:rFonts w:ascii="Arial" w:hAnsi="Arial"/>
                <w:sz w:val="18"/>
              </w:rPr>
              <w:t>92,10 %</w:t>
            </w:r>
          </w:p>
        </w:tc>
        <w:tc>
          <w:tcPr>
            <w:tcW w:type="dxa" w:w="4876"/>
            <w:vAlign w:val="center"/>
          </w:tcPr>
          <w:p>
            <w:pPr>
              <w:spacing w:after="60" w:before="40" w:line="240" w:lineRule="auto"/>
            </w:pPr>
            <w:r>
              <w:rPr>
                <w:rFonts w:ascii="Arial" w:hAnsi="Arial"/>
                <w:sz w:val="18"/>
              </w:rPr>
              <w:t>536 entradas a tiempo / 582.</w:t>
            </w:r>
          </w:p>
        </w:tc>
      </w:tr>
      <w:tr>
        <w:trPr>
          <w:cantSplit/>
        </w:trPr>
        <w:tc>
          <w:tcPr>
            <w:tcW w:type="dxa" w:w="2324"/>
            <w:vAlign w:val="center"/>
          </w:tcPr>
          <w:p>
            <w:pPr>
              <w:spacing w:after="60" w:before="40" w:line="240" w:lineRule="auto"/>
            </w:pPr>
            <w:r>
              <w:rPr>
                <w:rFonts w:ascii="Arial" w:hAnsi="Arial"/>
                <w:sz w:val="18"/>
              </w:rPr>
              <w:t>ICT</w:t>
            </w:r>
          </w:p>
        </w:tc>
        <w:tc>
          <w:tcPr>
            <w:tcW w:type="dxa" w:w="2098"/>
            <w:vAlign w:val="center"/>
          </w:tcPr>
          <w:p>
            <w:pPr>
              <w:spacing w:after="60" w:before="40" w:line="240" w:lineRule="auto"/>
            </w:pPr>
            <w:r>
              <w:rPr>
                <w:rFonts w:ascii="Arial" w:hAnsi="Arial"/>
                <w:sz w:val="18"/>
              </w:rPr>
              <w:t>56,36 %</w:t>
            </w:r>
          </w:p>
        </w:tc>
        <w:tc>
          <w:tcPr>
            <w:tcW w:type="dxa" w:w="4876"/>
            <w:vAlign w:val="center"/>
          </w:tcPr>
          <w:p>
            <w:pPr>
              <w:spacing w:after="60" w:before="40" w:line="240" w:lineRule="auto"/>
            </w:pPr>
            <w:r>
              <w:rPr>
                <w:rFonts w:ascii="Arial" w:hAnsi="Arial"/>
                <w:sz w:val="18"/>
              </w:rPr>
              <w:t>328 completadas sin observaciones / 582.</w:t>
            </w:r>
          </w:p>
        </w:tc>
      </w:tr>
      <w:tr>
        <w:trPr>
          <w:cantSplit/>
        </w:trPr>
        <w:tc>
          <w:tcPr>
            <w:tcW w:type="dxa" w:w="2324"/>
            <w:vAlign w:val="center"/>
          </w:tcPr>
          <w:p>
            <w:pPr>
              <w:spacing w:after="60" w:before="40" w:line="240" w:lineRule="auto"/>
            </w:pPr>
            <w:r>
              <w:rPr>
                <w:rFonts w:ascii="Arial" w:hAnsi="Arial"/>
                <w:sz w:val="18"/>
              </w:rPr>
              <w:t>TDT</w:t>
            </w:r>
          </w:p>
        </w:tc>
        <w:tc>
          <w:tcPr>
            <w:tcW w:type="dxa" w:w="2098"/>
            <w:vAlign w:val="center"/>
          </w:tcPr>
          <w:p>
            <w:pPr>
              <w:spacing w:after="60" w:before="40" w:line="240" w:lineRule="auto"/>
            </w:pPr>
            <w:r>
              <w:rPr>
                <w:rFonts w:ascii="Arial" w:hAnsi="Arial"/>
                <w:sz w:val="18"/>
              </w:rPr>
              <w:t>3,44 %</w:t>
            </w:r>
          </w:p>
        </w:tc>
        <w:tc>
          <w:tcPr>
            <w:tcW w:type="dxa" w:w="4876"/>
            <w:vAlign w:val="center"/>
          </w:tcPr>
          <w:p>
            <w:pPr>
              <w:spacing w:after="60" w:before="40" w:line="240" w:lineRule="auto"/>
            </w:pPr>
            <w:r>
              <w:rPr>
                <w:rFonts w:ascii="Arial" w:hAnsi="Arial"/>
                <w:sz w:val="18"/>
              </w:rPr>
              <w:t>20 tareas con FUERA DE PLAZO / 582.</w:t>
            </w:r>
          </w:p>
        </w:tc>
      </w:tr>
      <w:tr>
        <w:trPr>
          <w:cantSplit/>
        </w:trPr>
        <w:tc>
          <w:tcPr>
            <w:tcW w:type="dxa" w:w="2324"/>
            <w:vAlign w:val="center"/>
          </w:tcPr>
          <w:p>
            <w:pPr>
              <w:spacing w:after="60" w:before="40" w:line="240" w:lineRule="auto"/>
            </w:pPr>
            <w:r>
              <w:rPr>
                <w:rFonts w:ascii="Arial" w:hAnsi="Arial"/>
                <w:sz w:val="18"/>
              </w:rPr>
              <w:t>IEP</w:t>
            </w:r>
          </w:p>
        </w:tc>
        <w:tc>
          <w:tcPr>
            <w:tcW w:type="dxa" w:w="2098"/>
            <w:vAlign w:val="center"/>
          </w:tcPr>
          <w:p>
            <w:pPr>
              <w:spacing w:after="60" w:before="40" w:line="240" w:lineRule="auto"/>
            </w:pPr>
            <w:r>
              <w:rPr>
                <w:rFonts w:ascii="Arial" w:hAnsi="Arial"/>
                <w:sz w:val="18"/>
              </w:rPr>
              <w:t>75,12 puntos</w:t>
            </w:r>
          </w:p>
        </w:tc>
        <w:tc>
          <w:tcPr>
            <w:tcW w:type="dxa" w:w="4876"/>
            <w:vAlign w:val="center"/>
          </w:tcPr>
          <w:p>
            <w:pPr>
              <w:spacing w:after="60" w:before="40" w:line="240" w:lineRule="auto"/>
            </w:pPr>
            <w:r>
              <w:rPr>
                <w:rFonts w:ascii="Arial" w:hAnsi="Arial"/>
                <w:sz w:val="18"/>
              </w:rPr>
              <w:t>Ponderación de las tres tasas, antes de redondear.</w:t>
            </w:r>
          </w:p>
        </w:tc>
      </w:tr>
    </w:tbl>
    <w:p>
      <w:r>
        <w:rPr>
          <w:b w:val="0"/>
        </w:rPr>
      </w:r>
    </w:p>
    <w:p>
      <w:r>
        <w:rPr>
          <w:b w:val="0"/>
        </w:rPr>
        <w:t>Los numeradores se obtienen de las reglas del generador y coinciden con las tasas publicadas: 536 entradas a tiempo, 328 tareas sin observaciones y 20 fuera de plazo. La fórmula usa precisión completa; el redondeo a dos decimales es de presentación.</w:t>
      </w:r>
    </w:p>
    <w:p>
      <w:pPr>
        <w:pStyle w:val="Caption"/>
      </w:pPr>
      <w:r>
        <w:rPr>
          <w:b w:val="0"/>
        </w:rPr>
        <w:t>Tabla 16. Comparación de trabajadores en el trimestre</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cantSplit/>
        </w:trPr>
        <w:tc>
          <w:tcPr>
            <w:tcW w:type="dxa" w:w="2948"/>
            <w:shd w:fill="E7EFF5"/>
            <w:vAlign w:val="center"/>
          </w:tcPr>
          <w:p>
            <w:pPr>
              <w:spacing w:after="60" w:before="40" w:line="240" w:lineRule="auto"/>
            </w:pPr>
            <w:r>
              <w:rPr>
                <w:rFonts w:ascii="Arial" w:hAnsi="Arial"/>
                <w:b/>
                <w:sz w:val="18"/>
              </w:rPr>
              <w:t>TRABAJADOR</w:t>
            </w:r>
          </w:p>
        </w:tc>
        <w:tc>
          <w:tcPr>
            <w:tcW w:type="dxa" w:w="850"/>
            <w:shd w:fill="E7EFF5"/>
            <w:vAlign w:val="center"/>
          </w:tcPr>
          <w:p>
            <w:pPr>
              <w:spacing w:after="60" w:before="40" w:line="240" w:lineRule="auto"/>
            </w:pPr>
            <w:r>
              <w:rPr>
                <w:rFonts w:ascii="Arial" w:hAnsi="Arial"/>
                <w:b/>
                <w:sz w:val="18"/>
              </w:rPr>
              <w:t>ASIST.</w:t>
            </w:r>
          </w:p>
        </w:tc>
        <w:tc>
          <w:tcPr>
            <w:tcW w:type="dxa" w:w="850"/>
            <w:shd w:fill="E7EFF5"/>
            <w:vAlign w:val="center"/>
          </w:tcPr>
          <w:p>
            <w:pPr>
              <w:spacing w:after="60" w:before="40" w:line="240" w:lineRule="auto"/>
            </w:pPr>
            <w:r>
              <w:rPr>
                <w:rFonts w:ascii="Arial" w:hAnsi="Arial"/>
                <w:b/>
                <w:sz w:val="18"/>
              </w:rPr>
              <w:t>TAREAS</w:t>
            </w:r>
          </w:p>
        </w:tc>
        <w:tc>
          <w:tcPr>
            <w:tcW w:type="dxa" w:w="1191"/>
            <w:shd w:fill="E7EFF5"/>
            <w:vAlign w:val="center"/>
          </w:tcPr>
          <w:p>
            <w:pPr>
              <w:spacing w:after="60" w:before="40" w:line="240" w:lineRule="auto"/>
            </w:pPr>
            <w:r>
              <w:rPr>
                <w:rFonts w:ascii="Arial" w:hAnsi="Arial"/>
                <w:b/>
                <w:sz w:val="18"/>
              </w:rPr>
              <w:t>TPA %</w:t>
            </w:r>
          </w:p>
        </w:tc>
        <w:tc>
          <w:tcPr>
            <w:tcW w:type="dxa" w:w="1191"/>
            <w:shd w:fill="E7EFF5"/>
            <w:vAlign w:val="center"/>
          </w:tcPr>
          <w:p>
            <w:pPr>
              <w:spacing w:after="60" w:before="40" w:line="240" w:lineRule="auto"/>
            </w:pPr>
            <w:r>
              <w:rPr>
                <w:rFonts w:ascii="Arial" w:hAnsi="Arial"/>
                <w:b/>
                <w:sz w:val="18"/>
              </w:rPr>
              <w:t>ICT %</w:t>
            </w:r>
          </w:p>
        </w:tc>
        <w:tc>
          <w:tcPr>
            <w:tcW w:type="dxa" w:w="1077"/>
            <w:shd w:fill="E7EFF5"/>
            <w:vAlign w:val="center"/>
          </w:tcPr>
          <w:p>
            <w:pPr>
              <w:spacing w:after="60" w:before="40" w:line="240" w:lineRule="auto"/>
            </w:pPr>
            <w:r>
              <w:rPr>
                <w:rFonts w:ascii="Arial" w:hAnsi="Arial"/>
                <w:b/>
                <w:sz w:val="18"/>
              </w:rPr>
              <w:t>TDT %</w:t>
            </w:r>
          </w:p>
        </w:tc>
        <w:tc>
          <w:tcPr>
            <w:tcW w:type="dxa" w:w="1191"/>
            <w:shd w:fill="E7EFF5"/>
            <w:vAlign w:val="center"/>
          </w:tcPr>
          <w:p>
            <w:pPr>
              <w:spacing w:after="60" w:before="40" w:line="240" w:lineRule="auto"/>
            </w:pPr>
            <w:r>
              <w:rPr>
                <w:rFonts w:ascii="Arial" w:hAnsi="Arial"/>
                <w:b/>
                <w:sz w:val="18"/>
              </w:rPr>
              <w:t>IEP</w:t>
            </w:r>
          </w:p>
        </w:tc>
      </w:tr>
      <w:tr>
        <w:trPr>
          <w:cantSplit/>
        </w:trPr>
        <w:tc>
          <w:tcPr>
            <w:tcW w:type="dxa" w:w="2948"/>
            <w:vAlign w:val="center"/>
          </w:tcPr>
          <w:p>
            <w:pPr>
              <w:spacing w:after="60" w:before="40" w:line="240" w:lineRule="auto"/>
            </w:pPr>
            <w:r>
              <w:rPr>
                <w:rFonts w:ascii="Arial" w:hAnsi="Arial"/>
                <w:sz w:val="18"/>
              </w:rPr>
              <w:t>Adonis Vasquez</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78,79</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89,39</w:t>
            </w:r>
          </w:p>
        </w:tc>
      </w:tr>
      <w:tr>
        <w:trPr>
          <w:cantSplit/>
        </w:trPr>
        <w:tc>
          <w:tcPr>
            <w:tcW w:type="dxa" w:w="2948"/>
            <w:vAlign w:val="center"/>
          </w:tcPr>
          <w:p>
            <w:pPr>
              <w:spacing w:after="60" w:before="40" w:line="240" w:lineRule="auto"/>
            </w:pPr>
            <w:r>
              <w:rPr>
                <w:rFonts w:ascii="Arial" w:hAnsi="Arial"/>
                <w:sz w:val="18"/>
              </w:rPr>
              <w:t>Benjamin Alfonso</w:t>
            </w:r>
          </w:p>
        </w:tc>
        <w:tc>
          <w:tcPr>
            <w:tcW w:type="dxa" w:w="850"/>
            <w:vAlign w:val="center"/>
          </w:tcPr>
          <w:p>
            <w:pPr>
              <w:spacing w:after="60" w:before="40" w:line="240" w:lineRule="auto"/>
            </w:pPr>
            <w:r>
              <w:rPr>
                <w:rFonts w:ascii="Arial" w:hAnsi="Arial"/>
                <w:sz w:val="18"/>
              </w:rPr>
              <w:t>40</w:t>
            </w:r>
          </w:p>
        </w:tc>
        <w:tc>
          <w:tcPr>
            <w:tcW w:type="dxa" w:w="850"/>
            <w:vAlign w:val="center"/>
          </w:tcPr>
          <w:p>
            <w:pPr>
              <w:spacing w:after="60" w:before="40" w:line="240" w:lineRule="auto"/>
            </w:pPr>
            <w:r>
              <w:rPr>
                <w:rFonts w:ascii="Arial" w:hAnsi="Arial"/>
                <w:sz w:val="18"/>
              </w:rPr>
              <w:t>40</w:t>
            </w:r>
          </w:p>
        </w:tc>
        <w:tc>
          <w:tcPr>
            <w:tcW w:type="dxa" w:w="1191"/>
            <w:vAlign w:val="center"/>
          </w:tcPr>
          <w:p>
            <w:pPr>
              <w:spacing w:after="60" w:before="40" w:line="240" w:lineRule="auto"/>
            </w:pPr>
            <w:r>
              <w:rPr>
                <w:rFonts w:ascii="Arial" w:hAnsi="Arial"/>
                <w:sz w:val="18"/>
              </w:rPr>
              <w:t>95,00</w:t>
            </w:r>
          </w:p>
        </w:tc>
        <w:tc>
          <w:tcPr>
            <w:tcW w:type="dxa" w:w="1191"/>
            <w:vAlign w:val="center"/>
          </w:tcPr>
          <w:p>
            <w:pPr>
              <w:spacing w:after="60" w:before="40" w:line="240" w:lineRule="auto"/>
            </w:pPr>
            <w:r>
              <w:rPr>
                <w:rFonts w:ascii="Arial" w:hAnsi="Arial"/>
                <w:sz w:val="18"/>
              </w:rPr>
              <w:t>95,00</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96,00</w:t>
            </w:r>
          </w:p>
        </w:tc>
      </w:tr>
      <w:tr>
        <w:trPr>
          <w:cantSplit/>
        </w:trPr>
        <w:tc>
          <w:tcPr>
            <w:tcW w:type="dxa" w:w="2948"/>
            <w:vAlign w:val="center"/>
          </w:tcPr>
          <w:p>
            <w:pPr>
              <w:spacing w:after="60" w:before="40" w:line="240" w:lineRule="auto"/>
            </w:pPr>
            <w:r>
              <w:rPr>
                <w:rFonts w:ascii="Arial" w:hAnsi="Arial"/>
                <w:sz w:val="18"/>
              </w:rPr>
              <w:t>Celeste Lechuga</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69,70</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84,85</w:t>
            </w:r>
          </w:p>
        </w:tc>
      </w:tr>
      <w:tr>
        <w:trPr>
          <w:cantSplit/>
        </w:trPr>
        <w:tc>
          <w:tcPr>
            <w:tcW w:type="dxa" w:w="2948"/>
            <w:vAlign w:val="center"/>
          </w:tcPr>
          <w:p>
            <w:pPr>
              <w:spacing w:after="60" w:before="40" w:line="240" w:lineRule="auto"/>
            </w:pPr>
            <w:r>
              <w:rPr>
                <w:rFonts w:ascii="Arial" w:hAnsi="Arial"/>
                <w:sz w:val="18"/>
              </w:rPr>
              <w:t>Marco Coila</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54,55</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77,27</w:t>
            </w:r>
          </w:p>
        </w:tc>
      </w:tr>
      <w:tr>
        <w:trPr>
          <w:cantSplit/>
        </w:trPr>
        <w:tc>
          <w:tcPr>
            <w:tcW w:type="dxa" w:w="2948"/>
            <w:vAlign w:val="center"/>
          </w:tcPr>
          <w:p>
            <w:pPr>
              <w:spacing w:after="60" w:before="40" w:line="240" w:lineRule="auto"/>
            </w:pPr>
            <w:r>
              <w:rPr>
                <w:rFonts w:ascii="Arial" w:hAnsi="Arial"/>
                <w:sz w:val="18"/>
              </w:rPr>
              <w:t>Kevin Vega</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54,55</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77,27</w:t>
            </w:r>
          </w:p>
        </w:tc>
      </w:tr>
      <w:tr>
        <w:trPr>
          <w:cantSplit/>
        </w:trPr>
        <w:tc>
          <w:tcPr>
            <w:tcW w:type="dxa" w:w="2948"/>
            <w:vAlign w:val="center"/>
          </w:tcPr>
          <w:p>
            <w:pPr>
              <w:spacing w:after="60" w:before="40" w:line="240" w:lineRule="auto"/>
            </w:pPr>
            <w:r>
              <w:rPr>
                <w:rFonts w:ascii="Arial" w:hAnsi="Arial"/>
                <w:sz w:val="18"/>
              </w:rPr>
              <w:t>Fiorella Alarcon</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54,55</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77,27</w:t>
            </w:r>
          </w:p>
        </w:tc>
      </w:tr>
      <w:tr>
        <w:trPr>
          <w:cantSplit/>
        </w:trPr>
        <w:tc>
          <w:tcPr>
            <w:tcW w:type="dxa" w:w="2948"/>
            <w:vAlign w:val="center"/>
          </w:tcPr>
          <w:p>
            <w:pPr>
              <w:spacing w:after="60" w:before="40" w:line="240" w:lineRule="auto"/>
            </w:pPr>
            <w:r>
              <w:rPr>
                <w:rFonts w:ascii="Arial" w:hAnsi="Arial"/>
                <w:sz w:val="18"/>
              </w:rPr>
              <w:t>Alejandro Guzman</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54,55</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77,27</w:t>
            </w:r>
          </w:p>
        </w:tc>
      </w:tr>
      <w:tr>
        <w:trPr>
          <w:cantSplit/>
        </w:trPr>
        <w:tc>
          <w:tcPr>
            <w:tcW w:type="dxa" w:w="2948"/>
            <w:vAlign w:val="center"/>
          </w:tcPr>
          <w:p>
            <w:pPr>
              <w:spacing w:after="60" w:before="40" w:line="240" w:lineRule="auto"/>
            </w:pPr>
            <w:r>
              <w:rPr>
                <w:rFonts w:ascii="Arial" w:hAnsi="Arial"/>
                <w:sz w:val="18"/>
              </w:rPr>
              <w:t>Israel Rodrigo Ochoa Mejia</w:t>
            </w:r>
          </w:p>
        </w:tc>
        <w:tc>
          <w:tcPr>
            <w:tcW w:type="dxa" w:w="850"/>
            <w:vAlign w:val="center"/>
          </w:tcPr>
          <w:p>
            <w:pPr>
              <w:spacing w:after="60" w:before="40" w:line="240" w:lineRule="auto"/>
            </w:pPr>
            <w:r>
              <w:rPr>
                <w:rFonts w:ascii="Arial" w:hAnsi="Arial"/>
                <w:sz w:val="18"/>
              </w:rPr>
              <w:t>40</w:t>
            </w:r>
          </w:p>
        </w:tc>
        <w:tc>
          <w:tcPr>
            <w:tcW w:type="dxa" w:w="850"/>
            <w:vAlign w:val="center"/>
          </w:tcPr>
          <w:p>
            <w:pPr>
              <w:spacing w:after="60" w:before="40" w:line="240" w:lineRule="auto"/>
            </w:pPr>
            <w:r>
              <w:rPr>
                <w:rFonts w:ascii="Arial" w:hAnsi="Arial"/>
                <w:sz w:val="18"/>
              </w:rPr>
              <w:t>40</w:t>
            </w:r>
          </w:p>
        </w:tc>
        <w:tc>
          <w:tcPr>
            <w:tcW w:type="dxa" w:w="1191"/>
            <w:vAlign w:val="center"/>
          </w:tcPr>
          <w:p>
            <w:pPr>
              <w:spacing w:after="60" w:before="40" w:line="240" w:lineRule="auto"/>
            </w:pPr>
            <w:r>
              <w:rPr>
                <w:rFonts w:ascii="Arial" w:hAnsi="Arial"/>
                <w:sz w:val="18"/>
              </w:rPr>
              <w:t>40,00</w:t>
            </w:r>
          </w:p>
        </w:tc>
        <w:tc>
          <w:tcPr>
            <w:tcW w:type="dxa" w:w="1191"/>
            <w:vAlign w:val="center"/>
          </w:tcPr>
          <w:p>
            <w:pPr>
              <w:spacing w:after="60" w:before="40" w:line="240" w:lineRule="auto"/>
            </w:pPr>
            <w:r>
              <w:rPr>
                <w:rFonts w:ascii="Arial" w:hAnsi="Arial"/>
                <w:sz w:val="18"/>
              </w:rPr>
              <w:t>0,00</w:t>
            </w:r>
          </w:p>
        </w:tc>
        <w:tc>
          <w:tcPr>
            <w:tcW w:type="dxa" w:w="1077"/>
            <w:vAlign w:val="center"/>
          </w:tcPr>
          <w:p>
            <w:pPr>
              <w:spacing w:after="60" w:before="40" w:line="240" w:lineRule="auto"/>
            </w:pPr>
            <w:r>
              <w:rPr>
                <w:rFonts w:ascii="Arial" w:hAnsi="Arial"/>
                <w:sz w:val="18"/>
              </w:rPr>
              <w:t>50,00</w:t>
            </w:r>
          </w:p>
        </w:tc>
        <w:tc>
          <w:tcPr>
            <w:tcW w:type="dxa" w:w="1191"/>
            <w:vAlign w:val="center"/>
          </w:tcPr>
          <w:p>
            <w:pPr>
              <w:spacing w:after="60" w:before="40" w:line="240" w:lineRule="auto"/>
            </w:pPr>
            <w:r>
              <w:rPr>
                <w:rFonts w:ascii="Arial" w:hAnsi="Arial"/>
                <w:sz w:val="18"/>
              </w:rPr>
              <w:t>22,00</w:t>
            </w:r>
          </w:p>
        </w:tc>
      </w:tr>
      <w:tr>
        <w:trPr>
          <w:cantSplit/>
        </w:trPr>
        <w:tc>
          <w:tcPr>
            <w:tcW w:type="dxa" w:w="2948"/>
            <w:vAlign w:val="center"/>
          </w:tcPr>
          <w:p>
            <w:pPr>
              <w:spacing w:after="60" w:before="40" w:line="240" w:lineRule="auto"/>
            </w:pPr>
            <w:r>
              <w:rPr>
                <w:rFonts w:ascii="Arial" w:hAnsi="Arial"/>
                <w:sz w:val="18"/>
              </w:rPr>
              <w:t>Edu Cruz</w:t>
            </w:r>
          </w:p>
        </w:tc>
        <w:tc>
          <w:tcPr>
            <w:tcW w:type="dxa" w:w="850"/>
            <w:vAlign w:val="center"/>
          </w:tcPr>
          <w:p>
            <w:pPr>
              <w:spacing w:after="60" w:before="40" w:line="240" w:lineRule="auto"/>
            </w:pPr>
            <w:r>
              <w:rPr>
                <w:rFonts w:ascii="Arial" w:hAnsi="Arial"/>
                <w:sz w:val="18"/>
              </w:rPr>
              <w:t>66</w:t>
            </w:r>
          </w:p>
        </w:tc>
        <w:tc>
          <w:tcPr>
            <w:tcW w:type="dxa" w:w="850"/>
            <w:vAlign w:val="center"/>
          </w:tcPr>
          <w:p>
            <w:pPr>
              <w:spacing w:after="60" w:before="40" w:line="240" w:lineRule="auto"/>
            </w:pPr>
            <w:r>
              <w:rPr>
                <w:rFonts w:ascii="Arial" w:hAnsi="Arial"/>
                <w:sz w:val="18"/>
              </w:rPr>
              <w:t>66</w:t>
            </w:r>
          </w:p>
        </w:tc>
        <w:tc>
          <w:tcPr>
            <w:tcW w:type="dxa" w:w="1191"/>
            <w:vAlign w:val="center"/>
          </w:tcPr>
          <w:p>
            <w:pPr>
              <w:spacing w:after="60" w:before="40" w:line="240" w:lineRule="auto"/>
            </w:pPr>
            <w:r>
              <w:rPr>
                <w:rFonts w:ascii="Arial" w:hAnsi="Arial"/>
                <w:sz w:val="18"/>
              </w:rPr>
              <w:t>100,00</w:t>
            </w:r>
          </w:p>
        </w:tc>
        <w:tc>
          <w:tcPr>
            <w:tcW w:type="dxa" w:w="1191"/>
            <w:vAlign w:val="center"/>
          </w:tcPr>
          <w:p>
            <w:pPr>
              <w:spacing w:after="60" w:before="40" w:line="240" w:lineRule="auto"/>
            </w:pPr>
            <w:r>
              <w:rPr>
                <w:rFonts w:ascii="Arial" w:hAnsi="Arial"/>
                <w:sz w:val="18"/>
              </w:rPr>
              <w:t>54,55</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77,27</w:t>
            </w:r>
          </w:p>
        </w:tc>
      </w:tr>
      <w:tr>
        <w:trPr>
          <w:cantSplit/>
        </w:trPr>
        <w:tc>
          <w:tcPr>
            <w:tcW w:type="dxa" w:w="2948"/>
            <w:vAlign w:val="center"/>
          </w:tcPr>
          <w:p>
            <w:pPr>
              <w:spacing w:after="60" w:before="40" w:line="240" w:lineRule="auto"/>
            </w:pPr>
            <w:r>
              <w:rPr>
                <w:rFonts w:ascii="Arial" w:hAnsi="Arial"/>
                <w:sz w:val="18"/>
              </w:rPr>
              <w:t>Matias Sebastian Moreno Rodriguez</w:t>
            </w:r>
          </w:p>
        </w:tc>
        <w:tc>
          <w:tcPr>
            <w:tcW w:type="dxa" w:w="850"/>
            <w:vAlign w:val="center"/>
          </w:tcPr>
          <w:p>
            <w:pPr>
              <w:spacing w:after="60" w:before="40" w:line="240" w:lineRule="auto"/>
            </w:pPr>
            <w:r>
              <w:rPr>
                <w:rFonts w:ascii="Arial" w:hAnsi="Arial"/>
                <w:sz w:val="18"/>
              </w:rPr>
              <w:t>40</w:t>
            </w:r>
          </w:p>
        </w:tc>
        <w:tc>
          <w:tcPr>
            <w:tcW w:type="dxa" w:w="850"/>
            <w:vAlign w:val="center"/>
          </w:tcPr>
          <w:p>
            <w:pPr>
              <w:spacing w:after="60" w:before="40" w:line="240" w:lineRule="auto"/>
            </w:pPr>
            <w:r>
              <w:rPr>
                <w:rFonts w:ascii="Arial" w:hAnsi="Arial"/>
                <w:sz w:val="18"/>
              </w:rPr>
              <w:t>40</w:t>
            </w:r>
          </w:p>
        </w:tc>
        <w:tc>
          <w:tcPr>
            <w:tcW w:type="dxa" w:w="1191"/>
            <w:vAlign w:val="center"/>
          </w:tcPr>
          <w:p>
            <w:pPr>
              <w:spacing w:after="60" w:before="40" w:line="240" w:lineRule="auto"/>
            </w:pPr>
            <w:r>
              <w:rPr>
                <w:rFonts w:ascii="Arial" w:hAnsi="Arial"/>
                <w:sz w:val="18"/>
              </w:rPr>
              <w:t>50,00</w:t>
            </w:r>
          </w:p>
        </w:tc>
        <w:tc>
          <w:tcPr>
            <w:tcW w:type="dxa" w:w="1191"/>
            <w:vAlign w:val="center"/>
          </w:tcPr>
          <w:p>
            <w:pPr>
              <w:spacing w:after="60" w:before="40" w:line="240" w:lineRule="auto"/>
            </w:pPr>
            <w:r>
              <w:rPr>
                <w:rFonts w:ascii="Arial" w:hAnsi="Arial"/>
                <w:sz w:val="18"/>
              </w:rPr>
              <w:t>30,00</w:t>
            </w:r>
          </w:p>
        </w:tc>
        <w:tc>
          <w:tcPr>
            <w:tcW w:type="dxa" w:w="1077"/>
            <w:vAlign w:val="center"/>
          </w:tcPr>
          <w:p>
            <w:pPr>
              <w:spacing w:after="60" w:before="40" w:line="240" w:lineRule="auto"/>
            </w:pPr>
            <w:r>
              <w:rPr>
                <w:rFonts w:ascii="Arial" w:hAnsi="Arial"/>
                <w:sz w:val="18"/>
              </w:rPr>
              <w:t>0,00</w:t>
            </w:r>
          </w:p>
        </w:tc>
        <w:tc>
          <w:tcPr>
            <w:tcW w:type="dxa" w:w="1191"/>
            <w:vAlign w:val="center"/>
          </w:tcPr>
          <w:p>
            <w:pPr>
              <w:spacing w:after="60" w:before="40" w:line="240" w:lineRule="auto"/>
            </w:pPr>
            <w:r>
              <w:rPr>
                <w:rFonts w:ascii="Arial" w:hAnsi="Arial"/>
                <w:sz w:val="18"/>
              </w:rPr>
              <w:t>50,00</w:t>
            </w:r>
          </w:p>
        </w:tc>
      </w:tr>
    </w:tbl>
    <w:p>
      <w:r>
        <w:rPr>
          <w:b w:val="0"/>
        </w:rPr>
      </w:r>
    </w:p>
    <w:p>
      <w:bookmarkStart w:id="56" w:name="seccion_56"/>
      <w:pPr>
        <w:pStyle w:val="Heading2"/>
      </w:pPr>
      <w:r>
        <w:t>6.4 Visualizaciones y dashboards</w:t>
      </w:r>
      <w:bookmarkEnd w:id="56"/>
    </w:p>
    <w:p>
      <w:pPr>
        <w:keepNext/>
        <w:jc w:val="center"/>
      </w:pPr>
      <w:r>
        <w:rPr>
          <w:b w:val="0"/>
        </w:rPr>
      </w:r>
      <w:r>
        <w:drawing>
          <wp:inline xmlns:a="http://schemas.openxmlformats.org/drawingml/2006/main" xmlns:pic="http://schemas.openxmlformats.org/drawingml/2006/picture">
            <wp:extent cx="5903999" cy="3455000"/>
            <wp:docPr id="6" name="Picture 6"/>
            <wp:cNvGraphicFramePr>
              <a:graphicFrameLocks noChangeAspect="1"/>
            </wp:cNvGraphicFramePr>
            <a:graphic>
              <a:graphicData uri="http://schemas.openxmlformats.org/drawingml/2006/picture">
                <pic:pic>
                  <pic:nvPicPr>
                    <pic:cNvPr id="0" name="07_Rendimiento_Personal.png"/>
                    <pic:cNvPicPr/>
                  </pic:nvPicPr>
                  <pic:blipFill>
                    <a:blip r:embed="rId23"/>
                    <a:stretch>
                      <a:fillRect/>
                    </a:stretch>
                  </pic:blipFill>
                  <pic:spPr>
                    <a:xfrm>
                      <a:off x="0" y="0"/>
                      <a:ext cx="5903999" cy="3455000"/>
                    </a:xfrm>
                    <a:prstGeom prst="rect"/>
                  </pic:spPr>
                </pic:pic>
              </a:graphicData>
            </a:graphic>
          </wp:inline>
        </w:drawing>
      </w:r>
    </w:p>
    <w:p>
      <w:pPr>
        <w:pStyle w:val="Caption"/>
        <w:keepNext w:val="0"/>
      </w:pPr>
      <w:r>
        <w:rPr>
          <w:b w:val="0"/>
        </w:rPr>
        <w:t>Figura 5. Dashboard de rendimiento del personal, julio–septiembre de 2026. E-07 / E-13. Fuente: captura de Power BI publicada en GitHub.</w:t>
      </w:r>
    </w:p>
    <w:p>
      <w:r>
        <w:rPr>
          <w:b w:val="0"/>
        </w:rPr>
        <w:t>Las tarjetas presentan el total del conjunto cuando no hay filtros activos. Las barras permiten comparar el IEP de los diez trabajadores y ubicar los casos de mayor y menor puntaje. El selector de empleado permite revisar un caso; el de mes cambia el período de las tarjetas y el gráfico. El IEP se expresa en puntos y TPA, ICT y TDT en porcentaje.</w:t>
      </w:r>
    </w:p>
    <w:p>
      <w:r>
        <w:rPr>
          <w:b w:val="0"/>
        </w:rPr>
        <w:t>La captura publicada muestra la opción «(En blanco)» en el selector de meses. No representa un cuarto mes. Antes de presentar la versión final del visual, debe comprobarse la correspondencia de id_tiempo y la relación activa; excluir la opción del selector no sustituye esa revisión. La evidencia SQL publicada concilia los tres meses del conjunto inicial.</w:t>
      </w:r>
    </w:p>
    <w:p>
      <w:r>
        <w:rPr>
          <w:b w:val="0"/>
        </w:rPr>
        <w:t>Para la segunda página se presenta la tabla de resultados referenciales. El archivo PBIX contiene las dos tablas y el aviso de simulación. El enlace E-13 permite descargar el reporte y abrirlo con SQL Server disponible.</w:t>
      </w:r>
    </w:p>
    <w:p>
      <w:pPr>
        <w:pStyle w:val="Caption"/>
      </w:pPr>
      <w:r>
        <w:rPr>
          <w:b w:val="0"/>
        </w:rPr>
        <w:t>Tabla 17. Ejemplo mensual de bono con el IEP del trimestre</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cantSplit/>
        </w:trPr>
        <w:tc>
          <w:tcPr>
            <w:tcW w:type="dxa" w:w="1417"/>
            <w:shd w:fill="E7EFF5"/>
            <w:vAlign w:val="center"/>
          </w:tcPr>
          <w:p>
            <w:pPr>
              <w:spacing w:after="60" w:before="40" w:line="240" w:lineRule="auto"/>
            </w:pPr>
            <w:r>
              <w:rPr>
                <w:rFonts w:ascii="Arial" w:hAnsi="Arial"/>
                <w:b/>
                <w:sz w:val="18"/>
              </w:rPr>
              <w:t>CASO</w:t>
            </w:r>
          </w:p>
        </w:tc>
        <w:tc>
          <w:tcPr>
            <w:tcW w:type="dxa" w:w="2551"/>
            <w:shd w:fill="E7EFF5"/>
            <w:vAlign w:val="center"/>
          </w:tcPr>
          <w:p>
            <w:pPr>
              <w:spacing w:after="60" w:before="40" w:line="240" w:lineRule="auto"/>
            </w:pPr>
            <w:r>
              <w:rPr>
                <w:rFonts w:ascii="Arial" w:hAnsi="Arial"/>
                <w:b/>
                <w:sz w:val="18"/>
              </w:rPr>
              <w:t>TRABAJADOR</w:t>
            </w:r>
          </w:p>
        </w:tc>
        <w:tc>
          <w:tcPr>
            <w:tcW w:type="dxa" w:w="907"/>
            <w:shd w:fill="E7EFF5"/>
            <w:vAlign w:val="center"/>
          </w:tcPr>
          <w:p>
            <w:pPr>
              <w:spacing w:after="60" w:before="40" w:line="240" w:lineRule="auto"/>
            </w:pPr>
            <w:r>
              <w:rPr>
                <w:rFonts w:ascii="Arial" w:hAnsi="Arial"/>
                <w:b/>
                <w:sz w:val="18"/>
              </w:rPr>
              <w:t>IEP</w:t>
            </w:r>
          </w:p>
        </w:tc>
        <w:tc>
          <w:tcPr>
            <w:tcW w:type="dxa" w:w="1474"/>
            <w:shd w:fill="E7EFF5"/>
            <w:vAlign w:val="center"/>
          </w:tcPr>
          <w:p>
            <w:pPr>
              <w:spacing w:after="60" w:before="40" w:line="240" w:lineRule="auto"/>
            </w:pPr>
            <w:r>
              <w:rPr>
                <w:rFonts w:ascii="Arial" w:hAnsi="Arial"/>
                <w:b/>
                <w:sz w:val="18"/>
              </w:rPr>
              <w:t>BASE S/</w:t>
            </w:r>
          </w:p>
        </w:tc>
        <w:tc>
          <w:tcPr>
            <w:tcW w:type="dxa" w:w="1474"/>
            <w:shd w:fill="E7EFF5"/>
            <w:vAlign w:val="center"/>
          </w:tcPr>
          <w:p>
            <w:pPr>
              <w:spacing w:after="60" w:before="40" w:line="240" w:lineRule="auto"/>
            </w:pPr>
            <w:r>
              <w:rPr>
                <w:rFonts w:ascii="Arial" w:hAnsi="Arial"/>
                <w:b/>
                <w:sz w:val="18"/>
              </w:rPr>
              <w:t>BONO S/</w:t>
            </w:r>
          </w:p>
        </w:tc>
        <w:tc>
          <w:tcPr>
            <w:tcW w:type="dxa" w:w="1474"/>
            <w:shd w:fill="E7EFF5"/>
            <w:vAlign w:val="center"/>
          </w:tcPr>
          <w:p>
            <w:pPr>
              <w:spacing w:after="60" w:before="40" w:line="240" w:lineRule="auto"/>
            </w:pPr>
            <w:r>
              <w:rPr>
                <w:rFonts w:ascii="Arial" w:hAnsi="Arial"/>
                <w:b/>
                <w:sz w:val="18"/>
              </w:rPr>
              <w:t>TOTAL S/</w:t>
            </w:r>
          </w:p>
        </w:tc>
      </w:tr>
      <w:tr>
        <w:trPr>
          <w:cantSplit/>
        </w:trPr>
        <w:tc>
          <w:tcPr>
            <w:tcW w:type="dxa" w:w="1417"/>
            <w:vAlign w:val="center"/>
          </w:tcPr>
          <w:p>
            <w:pPr>
              <w:spacing w:after="60" w:before="40" w:line="240" w:lineRule="auto"/>
            </w:pPr>
            <w:r>
              <w:rPr>
                <w:rFonts w:ascii="Arial" w:hAnsi="Arial"/>
                <w:sz w:val="18"/>
              </w:rPr>
              <w:t>Mayor IEP</w:t>
            </w:r>
          </w:p>
        </w:tc>
        <w:tc>
          <w:tcPr>
            <w:tcW w:type="dxa" w:w="2551"/>
            <w:vAlign w:val="center"/>
          </w:tcPr>
          <w:p>
            <w:pPr>
              <w:spacing w:after="60" w:before="40" w:line="240" w:lineRule="auto"/>
            </w:pPr>
            <w:r>
              <w:rPr>
                <w:rFonts w:ascii="Arial" w:hAnsi="Arial"/>
                <w:sz w:val="18"/>
              </w:rPr>
              <w:t>Benjamin Alfonso</w:t>
            </w:r>
          </w:p>
        </w:tc>
        <w:tc>
          <w:tcPr>
            <w:tcW w:type="dxa" w:w="907"/>
            <w:vAlign w:val="center"/>
          </w:tcPr>
          <w:p>
            <w:pPr>
              <w:spacing w:after="60" w:before="40" w:line="240" w:lineRule="auto"/>
            </w:pPr>
            <w:r>
              <w:rPr>
                <w:rFonts w:ascii="Arial" w:hAnsi="Arial"/>
                <w:sz w:val="18"/>
              </w:rPr>
              <w:t>96,00</w:t>
            </w:r>
          </w:p>
        </w:tc>
        <w:tc>
          <w:tcPr>
            <w:tcW w:type="dxa" w:w="1474"/>
            <w:vAlign w:val="center"/>
          </w:tcPr>
          <w:p>
            <w:pPr>
              <w:spacing w:after="60" w:before="40" w:line="240" w:lineRule="auto"/>
            </w:pPr>
            <w:r>
              <w:rPr>
                <w:rFonts w:ascii="Arial" w:hAnsi="Arial"/>
                <w:sz w:val="18"/>
              </w:rPr>
              <w:t>1.500,00</w:t>
            </w:r>
          </w:p>
        </w:tc>
        <w:tc>
          <w:tcPr>
            <w:tcW w:type="dxa" w:w="1474"/>
            <w:vAlign w:val="center"/>
          </w:tcPr>
          <w:p>
            <w:pPr>
              <w:spacing w:after="60" w:before="40" w:line="240" w:lineRule="auto"/>
            </w:pPr>
            <w:r>
              <w:rPr>
                <w:rFonts w:ascii="Arial" w:hAnsi="Arial"/>
                <w:sz w:val="18"/>
              </w:rPr>
              <w:t>288,00</w:t>
            </w:r>
          </w:p>
        </w:tc>
        <w:tc>
          <w:tcPr>
            <w:tcW w:type="dxa" w:w="1474"/>
            <w:vAlign w:val="center"/>
          </w:tcPr>
          <w:p>
            <w:pPr>
              <w:spacing w:after="60" w:before="40" w:line="240" w:lineRule="auto"/>
            </w:pPr>
            <w:r>
              <w:rPr>
                <w:rFonts w:ascii="Arial" w:hAnsi="Arial"/>
                <w:sz w:val="18"/>
              </w:rPr>
              <w:t>1.788,00</w:t>
            </w:r>
          </w:p>
        </w:tc>
      </w:tr>
      <w:tr>
        <w:trPr>
          <w:cantSplit/>
        </w:trPr>
        <w:tc>
          <w:tcPr>
            <w:tcW w:type="dxa" w:w="1417"/>
            <w:vAlign w:val="center"/>
          </w:tcPr>
          <w:p>
            <w:pPr>
              <w:spacing w:after="60" w:before="40" w:line="240" w:lineRule="auto"/>
            </w:pPr>
            <w:r>
              <w:rPr>
                <w:rFonts w:ascii="Arial" w:hAnsi="Arial"/>
                <w:sz w:val="18"/>
              </w:rPr>
              <w:t>Menor IEP</w:t>
            </w:r>
          </w:p>
        </w:tc>
        <w:tc>
          <w:tcPr>
            <w:tcW w:type="dxa" w:w="2551"/>
            <w:vAlign w:val="center"/>
          </w:tcPr>
          <w:p>
            <w:pPr>
              <w:spacing w:after="60" w:before="40" w:line="240" w:lineRule="auto"/>
            </w:pPr>
            <w:r>
              <w:rPr>
                <w:rFonts w:ascii="Arial" w:hAnsi="Arial"/>
                <w:sz w:val="18"/>
              </w:rPr>
              <w:t>Israel Rodrigo Ochoa Mejia</w:t>
            </w:r>
          </w:p>
        </w:tc>
        <w:tc>
          <w:tcPr>
            <w:tcW w:type="dxa" w:w="907"/>
            <w:vAlign w:val="center"/>
          </w:tcPr>
          <w:p>
            <w:pPr>
              <w:spacing w:after="60" w:before="40" w:line="240" w:lineRule="auto"/>
            </w:pPr>
            <w:r>
              <w:rPr>
                <w:rFonts w:ascii="Arial" w:hAnsi="Arial"/>
                <w:sz w:val="18"/>
              </w:rPr>
              <w:t>22,00</w:t>
            </w:r>
          </w:p>
        </w:tc>
        <w:tc>
          <w:tcPr>
            <w:tcW w:type="dxa" w:w="1474"/>
            <w:vAlign w:val="center"/>
          </w:tcPr>
          <w:p>
            <w:pPr>
              <w:spacing w:after="60" w:before="40" w:line="240" w:lineRule="auto"/>
            </w:pPr>
            <w:r>
              <w:rPr>
                <w:rFonts w:ascii="Arial" w:hAnsi="Arial"/>
                <w:sz w:val="18"/>
              </w:rPr>
              <w:t>1.500,00</w:t>
            </w:r>
          </w:p>
        </w:tc>
        <w:tc>
          <w:tcPr>
            <w:tcW w:type="dxa" w:w="1474"/>
            <w:vAlign w:val="center"/>
          </w:tcPr>
          <w:p>
            <w:pPr>
              <w:spacing w:after="60" w:before="40" w:line="240" w:lineRule="auto"/>
            </w:pPr>
            <w:r>
              <w:rPr>
                <w:rFonts w:ascii="Arial" w:hAnsi="Arial"/>
                <w:sz w:val="18"/>
              </w:rPr>
              <w:t>66,00</w:t>
            </w:r>
          </w:p>
        </w:tc>
        <w:tc>
          <w:tcPr>
            <w:tcW w:type="dxa" w:w="1474"/>
            <w:vAlign w:val="center"/>
          </w:tcPr>
          <w:p>
            <w:pPr>
              <w:spacing w:after="60" w:before="40" w:line="240" w:lineRule="auto"/>
            </w:pPr>
            <w:r>
              <w:rPr>
                <w:rFonts w:ascii="Arial" w:hAnsi="Arial"/>
                <w:sz w:val="18"/>
              </w:rPr>
              <w:t>1.566,00</w:t>
            </w:r>
          </w:p>
        </w:tc>
      </w:tr>
    </w:tbl>
    <w:p>
      <w:r>
        <w:rPr>
          <w:b w:val="0"/>
        </w:rPr>
      </w:r>
    </w:p>
    <w:p>
      <w:r>
        <w:rPr>
          <w:b w:val="0"/>
        </w:rPr>
        <w:t>Bono = 1.500 × 0,20 × IEP / 100. Total referencial = 1.500 + bono. El ejemplo aplica el puntaje trimestral a un bono mensual y utiliza la misma base solo para mostrar el efecto del índice. No calcula tres sueldos, descuentos, impuestos, beneficios legales ni una equivalencia contractual entre jornadas.</w:t>
      </w:r>
    </w:p>
    <w:p>
      <w:r>
        <w:rPr>
          <w:b w:val="0"/>
        </w:rPr>
      </w:r>
      <w:hyperlink r:id="rId24">
        <w:r>
          <w:rPr>
            <w:color w:val="0563C1"/>
            <w:u w:val="single"/>
          </w:rPr>
          <w:t>E-13 · Descargar el reporte de Power BI</w:t>
        </w:r>
      </w:hyperlink>
    </w:p>
    <w:p>
      <w:bookmarkStart w:id="57" w:name="seccion_57"/>
      <w:pPr>
        <w:pStyle w:val="Heading2"/>
      </w:pPr>
      <w:r>
        <w:t>6.5 Análisis e interpretación técnica</w:t>
      </w:r>
      <w:bookmarkEnd w:id="57"/>
    </w:p>
    <w:p>
      <w:r>
        <w:rPr>
          <w:b w:val="0"/>
        </w:rPr>
        <w:t>Los escenarios mensuales muestran igualdad de cantidades en las dos capas. La prueba de repetición conserva las medidas, lo que respalda ejecutar de nuevo un período cuando se corrigen datos. No basta comparar el número de filas: la validación contrasta también las claves y las medidas de la vista de hechos.</w:t>
      </w:r>
    </w:p>
    <w:p>
      <w:r>
        <w:rPr>
          <w:b w:val="0"/>
        </w:rPr>
        <w:t>Benjamin obtiene el mayor IEP por combinar 95 % de puntualidad, 95 % de tareas sin observaciones y ausencia de la marca fuera de plazo. Israel obtiene el menor por tener 40 % de puntualidad, ninguna tarea completada sin observaciones y 50 % con la marca fuera de plazo. Son perfiles diseñados para comprobar el modelo, no conclusiones sobre personas en una operación real.</w:t>
      </w:r>
    </w:p>
    <w:p>
      <w:r>
        <w:rPr>
          <w:b w:val="0"/>
        </w:rPr>
        <w:t>Los regulares tienen TPA de 100 % por las franjas del generador. Por ello no corresponde afirmar que Benjamin es el más puntual, aunque tenga el mayor IEP. Comparar por proporciones reduce el efecto del distinto número de jornadas, pero el índice no ajusta por esfuerzo o complejidad de tareas.</w:t>
      </w:r>
    </w:p>
    <w:p>
      <w:r>
        <w:rPr>
          <w:b w:val="0"/>
        </w:rPr>
        <w:t>El ICT global de 56,36 % muestra que no todas las tareas cumplen la convención de completada sin observaciones. TDT de 3,44 % no significa que las demás estén terminadas: solo indica ausencia del marcador de entrega fuera de plazo. Las observaciones generales y las tareas pendientes requieren una lectura separada.</w:t>
      </w:r>
    </w:p>
    <w:p>
      <w:r>
        <w:rPr>
          <w:b w:val="0"/>
        </w:rPr>
        <w:t>La separación del Data Mart permite consultar otra estructura en SQL Server; los datos disponibles no permiten afirmar una reducción medida de carga en Clever Cloud. La simulación del bono explica la fórmula, pero no prueba justicia salarial ni autoriza su uso en una planilla.</w:t>
      </w:r>
    </w:p>
    <w:p>
      <w:bookmarkStart w:id="58" w:name="seccion_58"/>
      <w:pPr>
        <w:pStyle w:val="Heading2"/>
      </w:pPr>
      <w:r>
        <w:t>6.6 Verificación de funcionalidad y completitud</w:t>
      </w:r>
      <w:bookmarkEnd w:id="58"/>
    </w:p>
    <w:p>
      <w:pPr>
        <w:pStyle w:val="Caption"/>
      </w:pPr>
      <w:r>
        <w:rPr>
          <w:b w:val="0"/>
        </w:rPr>
        <w:t>Tabla 18. Estado de los productos de esta entrega</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041"/>
            <w:shd w:fill="E7EFF5"/>
            <w:vAlign w:val="center"/>
          </w:tcPr>
          <w:p>
            <w:pPr>
              <w:spacing w:after="60" w:before="40" w:line="240" w:lineRule="auto"/>
            </w:pPr>
            <w:r>
              <w:rPr>
                <w:rFonts w:ascii="Arial" w:hAnsi="Arial"/>
                <w:b/>
                <w:sz w:val="18"/>
              </w:rPr>
              <w:t>PRODUCTO</w:t>
            </w:r>
          </w:p>
        </w:tc>
        <w:tc>
          <w:tcPr>
            <w:tcW w:type="dxa" w:w="5726"/>
            <w:shd w:fill="E7EFF5"/>
            <w:vAlign w:val="center"/>
          </w:tcPr>
          <w:p>
            <w:pPr>
              <w:spacing w:after="60" w:before="40" w:line="240" w:lineRule="auto"/>
            </w:pPr>
            <w:r>
              <w:rPr>
                <w:rFonts w:ascii="Arial" w:hAnsi="Arial"/>
                <w:b/>
                <w:sz w:val="18"/>
              </w:rPr>
              <w:t>ESTADO RESPALDADO</w:t>
            </w:r>
          </w:p>
        </w:tc>
        <w:tc>
          <w:tcPr>
            <w:tcW w:type="dxa" w:w="1531"/>
            <w:shd w:fill="E7EFF5"/>
            <w:vAlign w:val="center"/>
          </w:tcPr>
          <w:p>
            <w:pPr>
              <w:spacing w:after="60" w:before="40" w:line="240" w:lineRule="auto"/>
            </w:pPr>
            <w:r>
              <w:rPr>
                <w:rFonts w:ascii="Arial" w:hAnsi="Arial"/>
                <w:b/>
                <w:sz w:val="18"/>
              </w:rPr>
              <w:t>EVIDENCIA</w:t>
            </w:r>
          </w:p>
        </w:tc>
      </w:tr>
      <w:tr>
        <w:trPr>
          <w:cantSplit/>
        </w:trPr>
        <w:tc>
          <w:tcPr>
            <w:tcW w:type="dxa" w:w="2041"/>
            <w:vAlign w:val="center"/>
          </w:tcPr>
          <w:p>
            <w:pPr>
              <w:spacing w:after="60" w:before="40" w:line="240" w:lineRule="auto"/>
            </w:pPr>
            <w:r>
              <w:rPr>
                <w:rFonts w:ascii="Arial" w:hAnsi="Arial"/>
                <w:sz w:val="18"/>
              </w:rPr>
              <w:t>Origen y Data Mart</w:t>
            </w:r>
          </w:p>
        </w:tc>
        <w:tc>
          <w:tcPr>
            <w:tcW w:type="dxa" w:w="5726"/>
            <w:vAlign w:val="center"/>
          </w:tcPr>
          <w:p>
            <w:pPr>
              <w:spacing w:after="60" w:before="40" w:line="240" w:lineRule="auto"/>
            </w:pPr>
            <w:r>
              <w:rPr>
                <w:rFonts w:ascii="Arial" w:hAnsi="Arial"/>
                <w:sz w:val="18"/>
              </w:rPr>
              <w:t>Scripts publicados y padrón alineado; diez trabajadores y cuatro dimensiones.</w:t>
            </w:r>
          </w:p>
        </w:tc>
        <w:tc>
          <w:tcPr>
            <w:tcW w:type="dxa" w:w="1531"/>
            <w:vAlign w:val="center"/>
          </w:tcPr>
          <w:p>
            <w:pPr>
              <w:spacing w:after="60" w:before="40" w:line="240" w:lineRule="auto"/>
            </w:pPr>
            <w:r>
              <w:rPr>
                <w:rFonts w:ascii="Arial" w:hAnsi="Arial"/>
                <w:sz w:val="18"/>
              </w:rPr>
              <w:t>E-01 / E-05 / E-06</w:t>
            </w:r>
          </w:p>
        </w:tc>
      </w:tr>
      <w:tr>
        <w:trPr>
          <w:cantSplit/>
        </w:trPr>
        <w:tc>
          <w:tcPr>
            <w:tcW w:type="dxa" w:w="2041"/>
            <w:vAlign w:val="center"/>
          </w:tcPr>
          <w:p>
            <w:pPr>
              <w:spacing w:after="60" w:before="40" w:line="240" w:lineRule="auto"/>
            </w:pPr>
            <w:r>
              <w:rPr>
                <w:rFonts w:ascii="Arial" w:hAnsi="Arial"/>
                <w:sz w:val="18"/>
              </w:rPr>
              <w:t>ETL y validación</w:t>
            </w:r>
          </w:p>
        </w:tc>
        <w:tc>
          <w:tcPr>
            <w:tcW w:type="dxa" w:w="5726"/>
            <w:vAlign w:val="center"/>
          </w:tcPr>
          <w:p>
            <w:pPr>
              <w:spacing w:after="60" w:before="40" w:line="240" w:lineRule="auto"/>
            </w:pPr>
            <w:r>
              <w:rPr>
                <w:rFonts w:ascii="Arial" w:hAnsi="Arial"/>
                <w:sz w:val="18"/>
              </w:rPr>
              <w:t>Cargas completadas; conciliación e igualdad de medidas documentadas.</w:t>
            </w:r>
          </w:p>
        </w:tc>
        <w:tc>
          <w:tcPr>
            <w:tcW w:type="dxa" w:w="1531"/>
            <w:vAlign w:val="center"/>
          </w:tcPr>
          <w:p>
            <w:pPr>
              <w:spacing w:after="60" w:before="40" w:line="240" w:lineRule="auto"/>
            </w:pPr>
            <w:r>
              <w:rPr>
                <w:rFonts w:ascii="Arial" w:hAnsi="Arial"/>
                <w:sz w:val="18"/>
              </w:rPr>
              <w:t>E-02 / E-09 / E-10</w:t>
            </w:r>
          </w:p>
        </w:tc>
      </w:tr>
      <w:tr>
        <w:trPr>
          <w:cantSplit/>
        </w:trPr>
        <w:tc>
          <w:tcPr>
            <w:tcW w:type="dxa" w:w="2041"/>
            <w:vAlign w:val="center"/>
          </w:tcPr>
          <w:p>
            <w:pPr>
              <w:spacing w:after="60" w:before="40" w:line="240" w:lineRule="auto"/>
            </w:pPr>
            <w:r>
              <w:rPr>
                <w:rFonts w:ascii="Arial" w:hAnsi="Arial"/>
                <w:sz w:val="18"/>
              </w:rPr>
              <w:t>Reporte Power BI</w:t>
            </w:r>
          </w:p>
        </w:tc>
        <w:tc>
          <w:tcPr>
            <w:tcW w:type="dxa" w:w="5726"/>
            <w:vAlign w:val="center"/>
          </w:tcPr>
          <w:p>
            <w:pPr>
              <w:spacing w:after="60" w:before="40" w:line="240" w:lineRule="auto"/>
            </w:pPr>
            <w:r>
              <w:rPr>
                <w:rFonts w:ascii="Arial" w:hAnsi="Arial"/>
                <w:sz w:val="18"/>
              </w:rPr>
              <w:t>Archivo de dos páginas y captura de rendimiento publicados; relaciones activas documentadas.</w:t>
            </w:r>
          </w:p>
        </w:tc>
        <w:tc>
          <w:tcPr>
            <w:tcW w:type="dxa" w:w="1531"/>
            <w:vAlign w:val="center"/>
          </w:tcPr>
          <w:p>
            <w:pPr>
              <w:spacing w:after="60" w:before="40" w:line="240" w:lineRule="auto"/>
            </w:pPr>
            <w:r>
              <w:rPr>
                <w:rFonts w:ascii="Arial" w:hAnsi="Arial"/>
                <w:sz w:val="18"/>
              </w:rPr>
              <w:t>E-05 / E-07 / E-13</w:t>
            </w:r>
          </w:p>
        </w:tc>
      </w:tr>
      <w:tr>
        <w:trPr>
          <w:cantSplit/>
        </w:trPr>
        <w:tc>
          <w:tcPr>
            <w:tcW w:type="dxa" w:w="2041"/>
            <w:vAlign w:val="center"/>
          </w:tcPr>
          <w:p>
            <w:pPr>
              <w:spacing w:after="60" w:before="40" w:line="240" w:lineRule="auto"/>
            </w:pPr>
            <w:r>
              <w:rPr>
                <w:rFonts w:ascii="Arial" w:hAnsi="Arial"/>
                <w:sz w:val="18"/>
              </w:rPr>
              <w:t>Bono referencial</w:t>
            </w:r>
          </w:p>
        </w:tc>
        <w:tc>
          <w:tcPr>
            <w:tcW w:type="dxa" w:w="5726"/>
            <w:vAlign w:val="center"/>
          </w:tcPr>
          <w:p>
            <w:pPr>
              <w:spacing w:after="60" w:before="40" w:line="240" w:lineRule="auto"/>
            </w:pPr>
            <w:r>
              <w:rPr>
                <w:rFonts w:ascii="Arial" w:hAnsi="Arial"/>
                <w:sz w:val="18"/>
              </w:rPr>
              <w:t>Reglas, medidas y tablas incluidas; importes de referencia documentados.</w:t>
            </w:r>
          </w:p>
        </w:tc>
        <w:tc>
          <w:tcPr>
            <w:tcW w:type="dxa" w:w="1531"/>
            <w:vAlign w:val="center"/>
          </w:tcPr>
          <w:p>
            <w:pPr>
              <w:spacing w:after="60" w:before="40" w:line="240" w:lineRule="auto"/>
            </w:pPr>
            <w:r>
              <w:rPr>
                <w:rFonts w:ascii="Arial" w:hAnsi="Arial"/>
                <w:sz w:val="18"/>
              </w:rPr>
              <w:t>E-06 / E-13</w:t>
            </w:r>
          </w:p>
        </w:tc>
      </w:tr>
      <w:tr>
        <w:trPr>
          <w:cantSplit/>
        </w:trPr>
        <w:tc>
          <w:tcPr>
            <w:tcW w:type="dxa" w:w="2041"/>
            <w:vAlign w:val="center"/>
          </w:tcPr>
          <w:p>
            <w:pPr>
              <w:spacing w:after="60" w:before="40" w:line="240" w:lineRule="auto"/>
            </w:pPr>
            <w:r>
              <w:rPr>
                <w:rFonts w:ascii="Arial" w:hAnsi="Arial"/>
                <w:sz w:val="18"/>
              </w:rPr>
              <w:t>Operación en producción</w:t>
            </w:r>
          </w:p>
        </w:tc>
        <w:tc>
          <w:tcPr>
            <w:tcW w:type="dxa" w:w="5726"/>
            <w:vAlign w:val="center"/>
          </w:tcPr>
          <w:p>
            <w:pPr>
              <w:spacing w:after="60" w:before="40" w:line="240" w:lineRule="auto"/>
            </w:pPr>
            <w:r>
              <w:rPr>
                <w:rFonts w:ascii="Arial" w:hAnsi="Arial"/>
                <w:sz w:val="18"/>
              </w:rPr>
              <w:t>No forma parte de la aceptación académica; sin mediciones de explotación real.</w:t>
            </w:r>
          </w:p>
        </w:tc>
        <w:tc>
          <w:tcPr>
            <w:tcW w:type="dxa" w:w="1531"/>
            <w:vAlign w:val="center"/>
          </w:tcPr>
          <w:p>
            <w:pPr>
              <w:spacing w:after="60" w:before="40" w:line="240" w:lineRule="auto"/>
            </w:pPr>
            <w:r>
              <w:rPr>
                <w:rFonts w:ascii="Arial" w:hAnsi="Arial"/>
                <w:sz w:val="18"/>
              </w:rPr>
              <w:t>Fuera de alcance.</w:t>
            </w:r>
          </w:p>
        </w:tc>
      </w:tr>
      <w:tr>
        <w:trPr>
          <w:cantSplit/>
        </w:trPr>
        <w:tc>
          <w:tcPr>
            <w:tcW w:type="dxa" w:w="2041"/>
            <w:vAlign w:val="center"/>
          </w:tcPr>
          <w:p>
            <w:pPr>
              <w:spacing w:after="60" w:before="40" w:line="240" w:lineRule="auto"/>
            </w:pPr>
            <w:r>
              <w:rPr>
                <w:rFonts w:ascii="Arial" w:hAnsi="Arial"/>
                <w:sz w:val="18"/>
              </w:rPr>
              <w:t>Big Data</w:t>
            </w:r>
          </w:p>
        </w:tc>
        <w:tc>
          <w:tcPr>
            <w:tcW w:type="dxa" w:w="5726"/>
            <w:vAlign w:val="center"/>
          </w:tcPr>
          <w:p>
            <w:pPr>
              <w:spacing w:after="60" w:before="40" w:line="240" w:lineRule="auto"/>
            </w:pPr>
            <w:r>
              <w:rPr>
                <w:rFonts w:ascii="Arial" w:hAnsi="Arial"/>
                <w:sz w:val="18"/>
              </w:rPr>
              <w:t>No desarrollado en T2.</w:t>
            </w:r>
          </w:p>
        </w:tc>
        <w:tc>
          <w:tcPr>
            <w:tcW w:type="dxa" w:w="1531"/>
            <w:vAlign w:val="center"/>
          </w:tcPr>
          <w:p>
            <w:pPr>
              <w:spacing w:after="60" w:before="40" w:line="240" w:lineRule="auto"/>
            </w:pPr>
            <w:r>
              <w:rPr>
                <w:rFonts w:ascii="Arial" w:hAnsi="Arial"/>
                <w:sz w:val="18"/>
              </w:rPr>
              <w:t>E-08 y E-14 reservadas.</w:t>
            </w:r>
          </w:p>
        </w:tc>
      </w:tr>
    </w:tbl>
    <w:p>
      <w:r>
        <w:rPr>
          <w:b w:val="0"/>
        </w:rPr>
      </w:r>
    </w:p>
    <w:p>
      <w:bookmarkStart w:id="59" w:name="seccion_59"/>
      <w:pPr>
        <w:pStyle w:val="Heading1"/>
      </w:pPr>
      <w:r>
        <w:t>CAPÍTULO VII: CONCLUSIONES TÉCNICAS Y RECOMENDACIONES</w:t>
      </w:r>
      <w:bookmarkEnd w:id="59"/>
    </w:p>
    <w:p>
      <w:bookmarkStart w:id="60" w:name="seccion_60"/>
      <w:pPr>
        <w:pStyle w:val="Heading2"/>
      </w:pPr>
      <w:r>
        <w:t>7.1 Matriz objetivo-resultado-conclusión-recomendación</w:t>
      </w:r>
      <w:bookmarkEnd w:id="60"/>
    </w:p>
    <w:p>
      <w:pPr>
        <w:pStyle w:val="Caption"/>
      </w:pPr>
      <w:r>
        <w:rPr>
          <w:b w:val="0"/>
        </w:rPr>
        <w:t>Tabla 19. Relación entre objetivos y resultados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134"/>
            <w:shd w:fill="E7EFF5"/>
            <w:vAlign w:val="center"/>
          </w:tcPr>
          <w:p>
            <w:pPr>
              <w:spacing w:after="60" w:before="40" w:line="240" w:lineRule="auto"/>
            </w:pPr>
            <w:r>
              <w:rPr>
                <w:rFonts w:ascii="Arial" w:hAnsi="Arial"/>
                <w:b/>
                <w:sz w:val="18"/>
              </w:rPr>
              <w:t>OBJETIVO</w:t>
            </w:r>
          </w:p>
        </w:tc>
        <w:tc>
          <w:tcPr>
            <w:tcW w:type="dxa" w:w="2665"/>
            <w:shd w:fill="E7EFF5"/>
            <w:vAlign w:val="center"/>
          </w:tcPr>
          <w:p>
            <w:pPr>
              <w:spacing w:after="60" w:before="40" w:line="240" w:lineRule="auto"/>
            </w:pPr>
            <w:r>
              <w:rPr>
                <w:rFonts w:ascii="Arial" w:hAnsi="Arial"/>
                <w:b/>
                <w:sz w:val="18"/>
              </w:rPr>
              <w:t>RESULTADO</w:t>
            </w:r>
          </w:p>
        </w:tc>
        <w:tc>
          <w:tcPr>
            <w:tcW w:type="dxa" w:w="3005"/>
            <w:shd w:fill="E7EFF5"/>
            <w:vAlign w:val="center"/>
          </w:tcPr>
          <w:p>
            <w:pPr>
              <w:spacing w:after="60" w:before="40" w:line="240" w:lineRule="auto"/>
            </w:pPr>
            <w:r>
              <w:rPr>
                <w:rFonts w:ascii="Arial" w:hAnsi="Arial"/>
                <w:b/>
                <w:sz w:val="18"/>
              </w:rPr>
              <w:t>CONCLUSIÓN</w:t>
            </w:r>
          </w:p>
        </w:tc>
        <w:tc>
          <w:tcPr>
            <w:tcW w:type="dxa" w:w="2494"/>
            <w:shd w:fill="E7EFF5"/>
            <w:vAlign w:val="center"/>
          </w:tcPr>
          <w:p>
            <w:pPr>
              <w:spacing w:after="60" w:before="40" w:line="240" w:lineRule="auto"/>
            </w:pPr>
            <w:r>
              <w:rPr>
                <w:rFonts w:ascii="Arial" w:hAnsi="Arial"/>
                <w:b/>
                <w:sz w:val="18"/>
              </w:rPr>
              <w:t>RECOMENDACIÓN / EVIDENCIA</w:t>
            </w:r>
          </w:p>
        </w:tc>
      </w:tr>
      <w:tr>
        <w:trPr>
          <w:cantSplit/>
        </w:trPr>
        <w:tc>
          <w:tcPr>
            <w:tcW w:type="dxa" w:w="1134"/>
            <w:vAlign w:val="center"/>
          </w:tcPr>
          <w:p>
            <w:pPr>
              <w:spacing w:after="60" w:before="40" w:line="240" w:lineRule="auto"/>
            </w:pPr>
            <w:r>
              <w:rPr>
                <w:rFonts w:ascii="Arial" w:hAnsi="Arial"/>
                <w:sz w:val="18"/>
              </w:rPr>
              <w:t>OE-01</w:t>
            </w:r>
          </w:p>
        </w:tc>
        <w:tc>
          <w:tcPr>
            <w:tcW w:type="dxa" w:w="2665"/>
            <w:vAlign w:val="center"/>
          </w:tcPr>
          <w:p>
            <w:pPr>
              <w:spacing w:after="60" w:before="40" w:line="240" w:lineRule="auto"/>
            </w:pPr>
            <w:r>
              <w:rPr>
                <w:rFonts w:ascii="Arial" w:hAnsi="Arial"/>
                <w:sz w:val="18"/>
              </w:rPr>
              <w:t>Cuatro dimensiones y diez trabajadores.</w:t>
            </w:r>
          </w:p>
        </w:tc>
        <w:tc>
          <w:tcPr>
            <w:tcW w:type="dxa" w:w="3005"/>
            <w:vAlign w:val="center"/>
          </w:tcPr>
          <w:p>
            <w:pPr>
              <w:spacing w:after="60" w:before="40" w:line="240" w:lineRule="auto"/>
            </w:pPr>
            <w:r>
              <w:rPr>
                <w:rFonts w:ascii="Arial" w:hAnsi="Arial"/>
                <w:sz w:val="18"/>
              </w:rPr>
              <w:t>La estructura dimensional representa el proceso definido.</w:t>
            </w:r>
          </w:p>
        </w:tc>
        <w:tc>
          <w:tcPr>
            <w:tcW w:type="dxa" w:w="2494"/>
            <w:vAlign w:val="center"/>
          </w:tcPr>
          <w:p>
            <w:pPr>
              <w:spacing w:after="60" w:before="40" w:line="240" w:lineRule="auto"/>
            </w:pPr>
            <w:r>
              <w:rPr>
                <w:rFonts w:ascii="Arial" w:hAnsi="Arial"/>
                <w:sz w:val="18"/>
              </w:rPr>
              <w:t>Mantener la granularidad y claves. E-05.</w:t>
            </w:r>
          </w:p>
        </w:tc>
      </w:tr>
      <w:tr>
        <w:trPr>
          <w:cantSplit/>
        </w:trPr>
        <w:tc>
          <w:tcPr>
            <w:tcW w:type="dxa" w:w="1134"/>
            <w:vAlign w:val="center"/>
          </w:tcPr>
          <w:p>
            <w:pPr>
              <w:spacing w:after="60" w:before="40" w:line="240" w:lineRule="auto"/>
            </w:pPr>
            <w:r>
              <w:rPr>
                <w:rFonts w:ascii="Arial" w:hAnsi="Arial"/>
                <w:sz w:val="18"/>
              </w:rPr>
              <w:t>OE-02 / OE-04</w:t>
            </w:r>
          </w:p>
        </w:tc>
        <w:tc>
          <w:tcPr>
            <w:tcW w:type="dxa" w:w="2665"/>
            <w:vAlign w:val="center"/>
          </w:tcPr>
          <w:p>
            <w:pPr>
              <w:spacing w:after="60" w:before="40" w:line="240" w:lineRule="auto"/>
            </w:pPr>
            <w:r>
              <w:rPr>
                <w:rFonts w:ascii="Arial" w:hAnsi="Arial"/>
                <w:sz w:val="18"/>
              </w:rPr>
              <w:t>582 asistencias, 582 tareas; cero diferencias mensuales.</w:t>
            </w:r>
          </w:p>
        </w:tc>
        <w:tc>
          <w:tcPr>
            <w:tcW w:type="dxa" w:w="3005"/>
            <w:vAlign w:val="center"/>
          </w:tcPr>
          <w:p>
            <w:pPr>
              <w:spacing w:after="60" w:before="40" w:line="240" w:lineRule="auto"/>
            </w:pPr>
            <w:r>
              <w:rPr>
                <w:rFonts w:ascii="Arial" w:hAnsi="Arial"/>
                <w:sz w:val="18"/>
              </w:rPr>
              <w:t>El ETL conserva cantidades del conjunto inicial.</w:t>
            </w:r>
          </w:p>
        </w:tc>
        <w:tc>
          <w:tcPr>
            <w:tcW w:type="dxa" w:w="2494"/>
            <w:vAlign w:val="center"/>
          </w:tcPr>
          <w:p>
            <w:pPr>
              <w:spacing w:after="60" w:before="40" w:line="240" w:lineRule="auto"/>
            </w:pPr>
            <w:r>
              <w:rPr>
                <w:rFonts w:ascii="Arial" w:hAnsi="Arial"/>
                <w:sz w:val="18"/>
              </w:rPr>
              <w:t>Repetir la conciliación al ampliar el origen. E-02 / E-10.</w:t>
            </w:r>
          </w:p>
        </w:tc>
      </w:tr>
      <w:tr>
        <w:trPr>
          <w:cantSplit/>
        </w:trPr>
        <w:tc>
          <w:tcPr>
            <w:tcW w:type="dxa" w:w="1134"/>
            <w:vAlign w:val="center"/>
          </w:tcPr>
          <w:p>
            <w:pPr>
              <w:spacing w:after="60" w:before="40" w:line="240" w:lineRule="auto"/>
            </w:pPr>
            <w:r>
              <w:rPr>
                <w:rFonts w:ascii="Arial" w:hAnsi="Arial"/>
                <w:sz w:val="18"/>
              </w:rPr>
              <w:t>OE-04</w:t>
            </w:r>
          </w:p>
        </w:tc>
        <w:tc>
          <w:tcPr>
            <w:tcW w:type="dxa" w:w="2665"/>
            <w:vAlign w:val="center"/>
          </w:tcPr>
          <w:p>
            <w:pPr>
              <w:spacing w:after="60" w:before="40" w:line="240" w:lineRule="auto"/>
            </w:pPr>
            <w:r>
              <w:rPr>
                <w:rFonts w:ascii="Arial" w:hAnsi="Arial"/>
                <w:sz w:val="18"/>
              </w:rPr>
              <w:t>Dos cargas conservan las mismas medidas.</w:t>
            </w:r>
          </w:p>
        </w:tc>
        <w:tc>
          <w:tcPr>
            <w:tcW w:type="dxa" w:w="3005"/>
            <w:vAlign w:val="center"/>
          </w:tcPr>
          <w:p>
            <w:pPr>
              <w:spacing w:after="60" w:before="40" w:line="240" w:lineRule="auto"/>
            </w:pPr>
            <w:r>
              <w:rPr>
                <w:rFonts w:ascii="Arial" w:hAnsi="Arial"/>
                <w:sz w:val="18"/>
              </w:rPr>
              <w:t>La repetición no acumula cantidades para el mismo período.</w:t>
            </w:r>
          </w:p>
        </w:tc>
        <w:tc>
          <w:tcPr>
            <w:tcW w:type="dxa" w:w="2494"/>
            <w:vAlign w:val="center"/>
          </w:tcPr>
          <w:p>
            <w:pPr>
              <w:spacing w:after="60" w:before="40" w:line="240" w:lineRule="auto"/>
            </w:pPr>
            <w:r>
              <w:rPr>
                <w:rFonts w:ascii="Arial" w:hAnsi="Arial"/>
                <w:sz w:val="18"/>
              </w:rPr>
              <w:t>Ejecutar una carga a la vez. E-09.</w:t>
            </w:r>
          </w:p>
        </w:tc>
      </w:tr>
      <w:tr>
        <w:trPr>
          <w:cantSplit/>
        </w:trPr>
        <w:tc>
          <w:tcPr>
            <w:tcW w:type="dxa" w:w="1134"/>
            <w:vAlign w:val="center"/>
          </w:tcPr>
          <w:p>
            <w:pPr>
              <w:spacing w:after="60" w:before="40" w:line="240" w:lineRule="auto"/>
            </w:pPr>
            <w:r>
              <w:rPr>
                <w:rFonts w:ascii="Arial" w:hAnsi="Arial"/>
                <w:sz w:val="18"/>
              </w:rPr>
              <w:t>OE-03</w:t>
            </w:r>
          </w:p>
        </w:tc>
        <w:tc>
          <w:tcPr>
            <w:tcW w:type="dxa" w:w="2665"/>
            <w:vAlign w:val="center"/>
          </w:tcPr>
          <w:p>
            <w:pPr>
              <w:spacing w:after="60" w:before="40" w:line="240" w:lineRule="auto"/>
            </w:pPr>
            <w:r>
              <w:rPr>
                <w:rFonts w:ascii="Arial" w:hAnsi="Arial"/>
                <w:sz w:val="18"/>
              </w:rPr>
              <w:t>IEP global 75,12; casos 96,00 y 22,00.</w:t>
            </w:r>
          </w:p>
        </w:tc>
        <w:tc>
          <w:tcPr>
            <w:tcW w:type="dxa" w:w="3005"/>
            <w:vAlign w:val="center"/>
          </w:tcPr>
          <w:p>
            <w:pPr>
              <w:spacing w:after="60" w:before="40" w:line="240" w:lineRule="auto"/>
            </w:pPr>
            <w:r>
              <w:rPr>
                <w:rFonts w:ascii="Arial" w:hAnsi="Arial"/>
                <w:sz w:val="18"/>
              </w:rPr>
              <w:t>Los indicadores permiten comparar los perfiles simulados.</w:t>
            </w:r>
          </w:p>
        </w:tc>
        <w:tc>
          <w:tcPr>
            <w:tcW w:type="dxa" w:w="2494"/>
            <w:vAlign w:val="center"/>
          </w:tcPr>
          <w:p>
            <w:pPr>
              <w:spacing w:after="60" w:before="40" w:line="240" w:lineRule="auto"/>
            </w:pPr>
            <w:r>
              <w:rPr>
                <w:rFonts w:ascii="Arial" w:hAnsi="Arial"/>
                <w:sz w:val="18"/>
              </w:rPr>
              <w:t>Validar pesos y reglas antes de un uso real. E-07.</w:t>
            </w:r>
          </w:p>
        </w:tc>
      </w:tr>
      <w:tr>
        <w:trPr>
          <w:cantSplit/>
        </w:trPr>
        <w:tc>
          <w:tcPr>
            <w:tcW w:type="dxa" w:w="1134"/>
            <w:vAlign w:val="center"/>
          </w:tcPr>
          <w:p>
            <w:pPr>
              <w:spacing w:after="60" w:before="40" w:line="240" w:lineRule="auto"/>
            </w:pPr>
            <w:r>
              <w:rPr>
                <w:rFonts w:ascii="Arial" w:hAnsi="Arial"/>
                <w:sz w:val="18"/>
              </w:rPr>
              <w:t>OE-05</w:t>
            </w:r>
          </w:p>
        </w:tc>
        <w:tc>
          <w:tcPr>
            <w:tcW w:type="dxa" w:w="2665"/>
            <w:vAlign w:val="center"/>
          </w:tcPr>
          <w:p>
            <w:pPr>
              <w:spacing w:after="60" w:before="40" w:line="240" w:lineRule="auto"/>
            </w:pPr>
            <w:r>
              <w:rPr>
                <w:rFonts w:ascii="Arial" w:hAnsi="Arial"/>
                <w:sz w:val="18"/>
              </w:rPr>
              <w:t>Bonos S/ 288,00 y S/ 66,00.</w:t>
            </w:r>
          </w:p>
        </w:tc>
        <w:tc>
          <w:tcPr>
            <w:tcW w:type="dxa" w:w="3005"/>
            <w:vAlign w:val="center"/>
          </w:tcPr>
          <w:p>
            <w:pPr>
              <w:spacing w:after="60" w:before="40" w:line="240" w:lineRule="auto"/>
            </w:pPr>
            <w:r>
              <w:rPr>
                <w:rFonts w:ascii="Arial" w:hAnsi="Arial"/>
                <w:sz w:val="18"/>
              </w:rPr>
              <w:t>El ejemplo hace visible el efecto del puntaje en un bono.</w:t>
            </w:r>
          </w:p>
        </w:tc>
        <w:tc>
          <w:tcPr>
            <w:tcW w:type="dxa" w:w="2494"/>
            <w:vAlign w:val="center"/>
          </w:tcPr>
          <w:p>
            <w:pPr>
              <w:spacing w:after="60" w:before="40" w:line="240" w:lineRule="auto"/>
            </w:pPr>
            <w:r>
              <w:rPr>
                <w:rFonts w:ascii="Arial" w:hAnsi="Arial"/>
                <w:sz w:val="18"/>
              </w:rPr>
              <w:t>Confirmar contratos y política salarial para pagos reales. E-13.</w:t>
            </w:r>
          </w:p>
        </w:tc>
      </w:tr>
    </w:tbl>
    <w:p>
      <w:r>
        <w:rPr>
          <w:b w:val="0"/>
        </w:rPr>
      </w:r>
    </w:p>
    <w:p>
      <w:bookmarkStart w:id="61" w:name="seccion_61"/>
      <w:pPr>
        <w:pStyle w:val="Heading2"/>
      </w:pPr>
      <w:r>
        <w:t>7.2 Conclusiones técnicas</w:t>
      </w:r>
      <w:bookmarkEnd w:id="61"/>
    </w:p>
    <w:p>
      <w:pPr>
        <w:ind w:left="312" w:hanging="312"/>
      </w:pPr>
      <w:r>
        <w:rPr>
          <w:b w:val="0"/>
        </w:rPr>
        <w:t>1. El modelo estrella de cuatro dimensiones y una tabla de hechos permite relacionar el padrón de diez trabajadores con el período analizado. Separar las filas de asistencia de las de tareas evita atribuir una marcación a varios proyectos. E-05 y E-06.</w:t>
      </w:r>
    </w:p>
    <w:p>
      <w:pPr>
        <w:ind w:left="312" w:hanging="312"/>
      </w:pPr>
      <w:r>
        <w:rPr>
          <w:b w:val="0"/>
        </w:rPr>
        <w:t>2. La conciliación conserva 582 asistencias y 582 tareas: 203, 186 y 193 registros de cada tipo en julio, agosto y septiembre. El resultado respalda la consistencia del conjunto inicial, sin demostrar todavía comportamiento a gran escala. E-02 y E-10.</w:t>
      </w:r>
    </w:p>
    <w:p>
      <w:pPr>
        <w:ind w:left="312" w:hanging="312"/>
      </w:pPr>
      <w:r>
        <w:rPr>
          <w:b w:val="0"/>
        </w:rPr>
        <w:t>3. Las dos cargas documentadas terminan con 1.164 filas y mantienen las mismas claves y medidas de la vista. La prueba respalda la repetición del período sin acumulación de cantidades, aunque se regeneren identificadores técnicos. E-09.</w:t>
      </w:r>
    </w:p>
    <w:p>
      <w:pPr>
        <w:ind w:left="312" w:hanging="312"/>
      </w:pPr>
      <w:r>
        <w:rPr>
          <w:b w:val="0"/>
        </w:rPr>
        <w:t>4. El dashboard resume un IEP global de 75,12 puntos y distingue los perfiles simulados de 96,00 y 22,00. Los resultados corresponden a los pesos y datos definidos; no acreditan desempeño laboral real ni mejoras de latencia. E-07.</w:t>
      </w:r>
    </w:p>
    <w:p>
      <w:pPr>
        <w:ind w:left="312" w:hanging="312"/>
      </w:pPr>
      <w:r>
        <w:rPr>
          <w:b w:val="0"/>
        </w:rPr>
        <w:t>5. El bono referencial produce S/ 288,00 y S/ 66,00 con una base común de S/ 1.500 y máximo de 20 %. La fórmula es reproducible, pero necesita reglas salariales y contractuales confirmadas antes de convertirse en un cálculo de pagos. E-13.</w:t>
      </w:r>
    </w:p>
    <w:p>
      <w:bookmarkStart w:id="62" w:name="seccion_62"/>
      <w:pPr>
        <w:pStyle w:val="Heading2"/>
      </w:pPr>
      <w:r>
        <w:t>7.3 Recomendaciones</w:t>
      </w:r>
      <w:bookmarkEnd w:id="62"/>
    </w:p>
    <w:p>
      <w:pPr>
        <w:ind w:left="312" w:hanging="312"/>
      </w:pPr>
      <w:r>
        <w:rPr>
          <w:b w:val="0"/>
        </w:rPr>
        <w:t>1. Prioridad alta: confirmar las reglas de aprobación, vencimiento y remuneración con la empresa. Incorporar los campos necesarios y el calendario de contratos, feriados y licencias antes de evaluar personas o calcular pagos reales.</w:t>
      </w:r>
    </w:p>
    <w:p>
      <w:pPr>
        <w:ind w:left="312" w:hanging="312"/>
      </w:pPr>
      <w:r>
        <w:rPr>
          <w:b w:val="0"/>
        </w:rPr>
        <w:t>2. Prioridad alta: validar las relaciones y los datos en el equipo de exposición. Revisar el valor vacío del selector de meses y contrastar las tarjetas con SQL antes de guardar nuevas capturas.</w:t>
      </w:r>
    </w:p>
    <w:p>
      <w:pPr>
        <w:ind w:left="312" w:hanging="312"/>
      </w:pPr>
      <w:r>
        <w:rPr>
          <w:b w:val="0"/>
        </w:rPr>
        <w:t>3. Prioridad alta: revisar los permisos sobre los datos publicados y definir accesos y respaldos antes de un despliegue empresarial. Para evaluar rendimiento, añadir mediciones repetidas con hardware, volumen y resolución temporal registrados.</w:t>
      </w:r>
    </w:p>
    <w:p>
      <w:bookmarkStart w:id="63" w:name="seccion_63"/>
      <w:pPr>
        <w:pStyle w:val="Heading1"/>
      </w:pPr>
      <w:r>
        <w:t>CAPÍTULO VIII: RESPONSABILIDAD ÉTICA Y PROFESIONAL</w:t>
      </w:r>
      <w:bookmarkEnd w:id="63"/>
    </w:p>
    <w:p>
      <w:bookmarkStart w:id="64" w:name="seccion_64"/>
      <w:pPr>
        <w:pStyle w:val="Heading2"/>
      </w:pPr>
      <w:r>
        <w:t>8.1 Tratamiento ético, legal y seguro de los datos</w:t>
      </w:r>
      <w:bookmarkEnd w:id="64"/>
    </w:p>
    <w:p>
      <w:r>
        <w:rPr>
          <w:b w:val="0"/>
        </w:rPr>
        <w:t>La entrega distingue los datos de identidad del origen y los movimientos simulados. Mantiene nombres visibles para relacionar las evidencias, por lo que no afirma anonimización. El generador público no incorpora contactos ni PIN reales. La difusión de datos identificables debe revisarse con la empresa y con las reglas de la institución.</w:t>
      </w:r>
    </w:p>
    <w:p>
      <w:r>
        <w:rPr>
          <w:b w:val="0"/>
        </w:rPr>
        <w:t>Los índices no se presentan como una evaluación definitiva de las personas. La puntualidad y el estado de una tarea no reflejan por sí solos su complejidad, dedicación, calidad técnica o contexto laboral. Antes de usar resultados para decisiones reales se necesitan reglas transparentes, posibilidad de revisión y datos completos.</w:t>
      </w:r>
    </w:p>
    <w:p>
      <w:r>
        <w:rPr>
          <w:b w:val="0"/>
        </w:rPr>
        <w:t>No se declara cumplimiento legal integral, seguridad por área o protección absoluta solo por utilizar SQL Server. El prototipo documenta sus controles reales y separa las recomendaciones pendientes de los componentes implementados.</w:t>
      </w:r>
    </w:p>
    <w:p>
      <w:bookmarkStart w:id="65" w:name="seccion_65"/>
      <w:pPr>
        <w:pStyle w:val="Heading2"/>
      </w:pPr>
      <w:r>
        <w:t>8.2 Impactos de las soluciones</w:t>
      </w:r>
      <w:bookmarkEnd w:id="65"/>
    </w:p>
    <w:p>
      <w:r>
        <w:rPr>
          <w:b w:val="0"/>
        </w:rPr>
        <w:t>Organizacional: el reporte reúne indicadores en una consulta común por mes y trabajador. Esto puede facilitar el seguimiento y la explicación de diferencias, sin que la entrega pruebe un cambio organizacional ya alcanzado.</w:t>
      </w:r>
    </w:p>
    <w:p>
      <w:r>
        <w:rPr>
          <w:b w:val="0"/>
        </w:rPr>
        <w:t>Social y laboral: las fórmulas documentadas permiten discutir cómo se construye el índice. Su uso exige evitar etiquetas personales sobre el conjunto simulado y no confundir un puntaje con una valoración completa del trabajador.</w:t>
      </w:r>
    </w:p>
    <w:p>
      <w:r>
        <w:rPr>
          <w:b w:val="0"/>
        </w:rPr>
        <w:t>Económico: el ejemplo de bono muestra el efecto de una regla propuesta. No se estiman ahorros de dinero, reducción de conflictos ni mejoras de productividad real porque no se han medido.</w:t>
      </w:r>
    </w:p>
    <w:p>
      <w:r>
        <w:rPr>
          <w:b w:val="0"/>
        </w:rPr>
        <w:t>Ambiental: los reportes digitales pueden reducir impresiones, pero este proyecto no cuantificó consumo de papel, energía ni emisiones.</w:t>
      </w:r>
    </w:p>
    <w:p>
      <w:bookmarkStart w:id="66" w:name="seccion_66"/>
      <w:pPr>
        <w:pStyle w:val="Heading2"/>
      </w:pPr>
      <w:r>
        <w:t>8.3 Compromiso profesional</w:t>
      </w:r>
      <w:bookmarkEnd w:id="66"/>
    </w:p>
    <w:p>
      <w:r>
        <w:rPr>
          <w:b w:val="0"/>
        </w:rPr>
        <w:t>El equipo presenta los scripts, reglas y evidencias para que el docente pueda revisar la solución. La responsabilidad académica incluye explicar las decisiones, reconocer el uso de asistencia tecnológica y corregir diferencias entre el informe y el repositorio.</w:t>
      </w:r>
    </w:p>
    <w:p>
      <w:r>
        <w:rPr>
          <w:b w:val="0"/>
        </w:rPr>
        <w:t>Las conclusiones se limitan al conjunto y a las pruebas documentadas. Las validaciones y contribuciones se respaldan con los artefactos y registros disponibles. Los cambios posteriores deberán conservar la correspondencia entre datos, código, reportes y evidencias.</w:t>
      </w:r>
    </w:p>
    <w:p>
      <w:bookmarkStart w:id="67" w:name="seccion_67"/>
      <w:pPr>
        <w:pStyle w:val="Heading1"/>
      </w:pPr>
      <w:r>
        <w:t>REFERENCIAS BIBLIOGRÁFICAS</w:t>
      </w:r>
      <w:bookmarkEnd w:id="67"/>
    </w:p>
    <w:p>
      <w:r>
        <w:rPr>
          <w:b w:val="0"/>
        </w:rPr>
        <w:t>Kimball, R., &amp; Ross, M. (2013). The data warehouse toolkit: The definitive guide to dimensional modeling (3.ª ed.). John Wiley &amp; Sons.</w:t>
      </w:r>
    </w:p>
    <w:p>
      <w:r>
        <w:rPr>
          <w:b w:val="0"/>
        </w:rPr>
        <w:t>Microsoft. (s. f.-a). CREATE PROCEDURE (Transact-SQL). Microsoft Learn.</w:t>
      </w:r>
    </w:p>
    <w:p>
      <w:r>
        <w:rPr>
          <w:b w:val="0"/>
        </w:rPr>
      </w:r>
      <w:hyperlink r:id="rId25">
        <w:r>
          <w:rPr>
            <w:color w:val="0563C1"/>
            <w:u w:val="single"/>
          </w:rPr>
          <w:t>https://learn.microsoft.com/en-us/sql/t-sql/statements/create-procedure-transact-sql</w:t>
        </w:r>
      </w:hyperlink>
    </w:p>
    <w:p>
      <w:r>
        <w:rPr>
          <w:b w:val="0"/>
        </w:rPr>
        <w:t>Microsoft. (s. f.-b). Understand star schema and the importance for Power BI. Microsoft Learn.</w:t>
      </w:r>
    </w:p>
    <w:p>
      <w:r>
        <w:rPr>
          <w:b w:val="0"/>
        </w:rPr>
      </w:r>
      <w:hyperlink r:id="rId26">
        <w:r>
          <w:rPr>
            <w:color w:val="0563C1"/>
            <w:u w:val="single"/>
          </w:rPr>
          <w:t>https://learn.microsoft.com/en-us/power-bi/guidance/star-schema</w:t>
        </w:r>
      </w:hyperlink>
    </w:p>
    <w:p>
      <w:r>
        <w:rPr>
          <w:b w:val="0"/>
        </w:rPr>
        <w:t>Grupo 2. (2026). Sistema_Remuneraciones_Reportes [Código fuente, documentación y evidencias, versión 9726a54]. GitHub.</w:t>
      </w:r>
    </w:p>
    <w:p>
      <w:r>
        <w:rPr>
          <w:b w:val="0"/>
        </w:rPr>
      </w:r>
      <w:hyperlink r:id="rId27">
        <w:r>
          <w:rPr>
            <w:color w:val="0563C1"/>
            <w:u w:val="single"/>
          </w:rPr>
          <w:t>https://github.com/b-alfonso/Sistema_Remuneraciones_Reportes/tree/9726a5470b3ab6cd333edc21e1015d04da9598b3</w:t>
        </w:r>
      </w:hyperlink>
    </w:p>
    <w:p>
      <w:r>
        <w:rPr>
          <w:b w:val="0"/>
        </w:rPr>
        <w:t>Las referencias técnicas sustentan los conceptos y la implementación descrita. Los resultados numéricos del proyecto proceden de sus propias evidencias, no de los ejemplos incluidos en documentación externa.</w:t>
      </w:r>
    </w:p>
    <w:p>
      <w:bookmarkStart w:id="68" w:name="seccion_68"/>
      <w:pPr>
        <w:pStyle w:val="Heading1"/>
      </w:pPr>
      <w:r>
        <w:t>ANEXOS Y MANIFIESTO DE EVIDENCIAS</w:t>
      </w:r>
      <w:bookmarkEnd w:id="68"/>
    </w:p>
    <w:p>
      <w:bookmarkStart w:id="69" w:name="seccion_69"/>
      <w:pPr>
        <w:pStyle w:val="Heading2"/>
      </w:pPr>
      <w:r>
        <w:t>Manifiesto de evidencias</w:t>
      </w:r>
      <w:bookmarkEnd w:id="69"/>
    </w:p>
    <w:p>
      <w:r>
        <w:rPr>
          <w:b w:val="0"/>
        </w:rPr>
        <w:t>Los enlaces de esta tabla son permanentes y apuntan a archivos existentes en la versión 9726a54. En Word se abren con Ctrl + clic. Los archivos PBIX se descargan desde GitHub con Download raw file y se abren en Power BI Desktop; no se presentan como dashboards publicados en la web. Las referencias internas señalan apartados de este mismo informe.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850"/>
            <w:shd w:fill="E7EFF5"/>
            <w:vAlign w:val="center"/>
          </w:tcPr>
          <w:p>
            <w:pPr>
              <w:spacing w:after="60" w:before="40" w:line="240" w:lineRule="auto"/>
            </w:pPr>
            <w:r>
              <w:rPr>
                <w:rFonts w:ascii="Arial" w:hAnsi="Arial"/>
                <w:b/>
                <w:sz w:val="18"/>
              </w:rPr>
              <w:t>CÓDIGO</w:t>
            </w:r>
          </w:p>
        </w:tc>
        <w:tc>
          <w:tcPr>
            <w:tcW w:type="dxa" w:w="2324"/>
            <w:shd w:fill="E7EFF5"/>
            <w:vAlign w:val="center"/>
          </w:tcPr>
          <w:p>
            <w:pPr>
              <w:spacing w:after="60" w:before="40" w:line="240" w:lineRule="auto"/>
            </w:pPr>
            <w:r>
              <w:rPr>
                <w:rFonts w:ascii="Arial" w:hAnsi="Arial"/>
                <w:b/>
                <w:sz w:val="18"/>
              </w:rPr>
              <w:t>EVIDENCIA</w:t>
            </w:r>
          </w:p>
        </w:tc>
        <w:tc>
          <w:tcPr>
            <w:tcW w:type="dxa" w:w="4365"/>
            <w:shd w:fill="E7EFF5"/>
            <w:vAlign w:val="center"/>
          </w:tcPr>
          <w:p>
            <w:pPr>
              <w:spacing w:after="60" w:before="40" w:line="240" w:lineRule="auto"/>
            </w:pPr>
            <w:r>
              <w:rPr>
                <w:rFonts w:ascii="Arial" w:hAnsi="Arial"/>
                <w:b/>
                <w:sz w:val="18"/>
              </w:rPr>
              <w:t>UBICACIÓN / ENLACE</w:t>
            </w:r>
          </w:p>
        </w:tc>
        <w:tc>
          <w:tcPr>
            <w:tcW w:type="dxa" w:w="1757"/>
            <w:shd w:fill="E7EFF5"/>
            <w:vAlign w:val="center"/>
          </w:tcPr>
          <w:p>
            <w:pPr>
              <w:spacing w:after="60" w:before="40" w:line="240" w:lineRule="auto"/>
            </w:pPr>
            <w:r>
              <w:rPr>
                <w:rFonts w:ascii="Arial" w:hAnsi="Arial"/>
                <w:b/>
                <w:sz w:val="18"/>
              </w:rPr>
              <w:t>VERSIÓN / RESPONSABLE</w:t>
            </w:r>
          </w:p>
        </w:tc>
      </w:tr>
      <w:tr>
        <w:trPr>
          <w:cantSplit/>
        </w:trPr>
        <w:tc>
          <w:tcPr>
            <w:tcW w:type="dxa" w:w="850"/>
            <w:vAlign w:val="center"/>
          </w:tcPr>
          <w:p>
            <w:pPr>
              <w:spacing w:after="60" w:before="40" w:line="240" w:lineRule="auto"/>
            </w:pPr>
            <w:r>
              <w:rPr>
                <w:rFonts w:ascii="Arial" w:hAnsi="Arial"/>
                <w:sz w:val="18"/>
              </w:rPr>
              <w:t>E-01</w:t>
            </w:r>
          </w:p>
        </w:tc>
        <w:tc>
          <w:tcPr>
            <w:tcW w:type="dxa" w:w="2324"/>
            <w:vAlign w:val="center"/>
          </w:tcPr>
          <w:p>
            <w:pPr>
              <w:spacing w:after="60" w:before="40" w:line="240" w:lineRule="auto"/>
            </w:pPr>
            <w:r>
              <w:rPr>
                <w:rFonts w:ascii="Arial" w:hAnsi="Arial"/>
                <w:sz w:val="18"/>
              </w:rPr>
              <w:t>Padrón y procedencia</w:t>
            </w:r>
          </w:p>
        </w:tc>
        <w:tc>
          <w:tcPr>
            <w:tcW w:type="dxa" w:w="4365"/>
            <w:vAlign w:val="center"/>
          </w:tcPr>
          <w:p>
            <w:r/>
            <w:hyperlink r:id="rId28">
              <w:r>
                <w:rPr>
                  <w:color w:val="0563C1"/>
                  <w:u w:val="single"/>
                </w:rPr>
                <w:t>04_Documentacion/08_Padron_Trabajadores.md</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E-02</w:t>
            </w:r>
          </w:p>
        </w:tc>
        <w:tc>
          <w:tcPr>
            <w:tcW w:type="dxa" w:w="2324"/>
            <w:vAlign w:val="center"/>
          </w:tcPr>
          <w:p>
            <w:pPr>
              <w:spacing w:after="60" w:before="40" w:line="240" w:lineRule="auto"/>
            </w:pPr>
            <w:r>
              <w:rPr>
                <w:rFonts w:ascii="Arial" w:hAnsi="Arial"/>
                <w:sz w:val="18"/>
              </w:rPr>
              <w:t>Resultados SQL y perfil del conjunto</w:t>
            </w:r>
          </w:p>
        </w:tc>
        <w:tc>
          <w:tcPr>
            <w:tcW w:type="dxa" w:w="4365"/>
            <w:vAlign w:val="center"/>
          </w:tcPr>
          <w:p>
            <w:r/>
            <w:hyperlink r:id="rId29">
              <w:r>
                <w:rPr>
                  <w:color w:val="0563C1"/>
                  <w:u w:val="single"/>
                </w:rPr>
                <w:t>04_Documentacion/Evidencias/03_Resultados_Padron_Origen.txt</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E-03</w:t>
            </w:r>
          </w:p>
        </w:tc>
        <w:tc>
          <w:tcPr>
            <w:tcW w:type="dxa" w:w="2324"/>
            <w:vAlign w:val="center"/>
          </w:tcPr>
          <w:p>
            <w:pPr>
              <w:spacing w:after="60" w:before="40" w:line="240" w:lineRule="auto"/>
            </w:pPr>
            <w:r>
              <w:rPr>
                <w:rFonts w:ascii="Arial" w:hAnsi="Arial"/>
                <w:sz w:val="18"/>
              </w:rPr>
              <w:t>Generación de movimientos simulados</w:t>
            </w:r>
          </w:p>
        </w:tc>
        <w:tc>
          <w:tcPr>
            <w:tcW w:type="dxa" w:w="4365"/>
            <w:vAlign w:val="center"/>
          </w:tcPr>
          <w:p>
            <w:r/>
            <w:hyperlink r:id="rId30">
              <w:r>
                <w:rPr>
                  <w:color w:val="0563C1"/>
                  <w:u w:val="single"/>
                </w:rPr>
                <w:t>01_Base_Datos/01_Estructura_y_Datos.sql</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E-04</w:t>
            </w:r>
          </w:p>
        </w:tc>
        <w:tc>
          <w:tcPr>
            <w:tcW w:type="dxa" w:w="2324"/>
            <w:vAlign w:val="center"/>
          </w:tcPr>
          <w:p>
            <w:pPr>
              <w:spacing w:after="60" w:before="40" w:line="240" w:lineRule="auto"/>
            </w:pPr>
            <w:r>
              <w:rPr>
                <w:rFonts w:ascii="Arial" w:hAnsi="Arial"/>
                <w:sz w:val="18"/>
              </w:rPr>
              <w:t>Orden y procedimiento de reproducción</w:t>
            </w:r>
          </w:p>
        </w:tc>
        <w:tc>
          <w:tcPr>
            <w:tcW w:type="dxa" w:w="4365"/>
            <w:vAlign w:val="center"/>
          </w:tcPr>
          <w:p>
            <w:r/>
            <w:hyperlink r:id="rId31">
              <w:r>
                <w:rPr>
                  <w:color w:val="0563C1"/>
                  <w:u w:val="single"/>
                </w:rPr>
                <w:t>04_Documentacion/00_Orden_Ejecucion.md</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E-05</w:t>
            </w:r>
          </w:p>
        </w:tc>
        <w:tc>
          <w:tcPr>
            <w:tcW w:type="dxa" w:w="2324"/>
            <w:vAlign w:val="center"/>
          </w:tcPr>
          <w:p>
            <w:pPr>
              <w:spacing w:after="60" w:before="40" w:line="240" w:lineRule="auto"/>
            </w:pPr>
            <w:r>
              <w:rPr>
                <w:rFonts w:ascii="Arial" w:hAnsi="Arial"/>
                <w:sz w:val="18"/>
              </w:rPr>
              <w:t>Modelo físico y reglas</w:t>
            </w:r>
          </w:p>
        </w:tc>
        <w:tc>
          <w:tcPr>
            <w:tcW w:type="dxa" w:w="4365"/>
            <w:vAlign w:val="center"/>
          </w:tcPr>
          <w:p>
            <w:r/>
            <w:hyperlink r:id="rId32">
              <w:r>
                <w:rPr>
                  <w:color w:val="0563C1"/>
                  <w:u w:val="single"/>
                </w:rPr>
                <w:t>04_Documentacion/Evidencias/03_Modelo_Estrella_SSMS.png</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E-06</w:t>
            </w:r>
          </w:p>
        </w:tc>
        <w:tc>
          <w:tcPr>
            <w:tcW w:type="dxa" w:w="2324"/>
            <w:vAlign w:val="center"/>
          </w:tcPr>
          <w:p>
            <w:pPr>
              <w:spacing w:after="60" w:before="40" w:line="240" w:lineRule="auto"/>
            </w:pPr>
            <w:r>
              <w:rPr>
                <w:rFonts w:ascii="Arial" w:hAnsi="Arial"/>
                <w:sz w:val="18"/>
              </w:rPr>
              <w:t>Código de transformación y consulta</w:t>
            </w:r>
          </w:p>
        </w:tc>
        <w:tc>
          <w:tcPr>
            <w:tcW w:type="dxa" w:w="4365"/>
            <w:vAlign w:val="center"/>
          </w:tcPr>
          <w:p>
            <w:r/>
            <w:hyperlink r:id="rId17">
              <w:r>
                <w:rPr>
                  <w:color w:val="0563C1"/>
                  <w:u w:val="single"/>
                </w:rPr>
                <w:t>02_Procedimientos_Almacenados/02_Procedimiento_ETL.sql</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E-07</w:t>
            </w:r>
          </w:p>
        </w:tc>
        <w:tc>
          <w:tcPr>
            <w:tcW w:type="dxa" w:w="2324"/>
            <w:vAlign w:val="center"/>
          </w:tcPr>
          <w:p>
            <w:pPr>
              <w:spacing w:after="60" w:before="40" w:line="240" w:lineRule="auto"/>
            </w:pPr>
            <w:r>
              <w:rPr>
                <w:rFonts w:ascii="Arial" w:hAnsi="Arial"/>
                <w:sz w:val="18"/>
              </w:rPr>
              <w:t>Dashboard de rendimiento</w:t>
            </w:r>
          </w:p>
        </w:tc>
        <w:tc>
          <w:tcPr>
            <w:tcW w:type="dxa" w:w="4365"/>
            <w:vAlign w:val="center"/>
          </w:tcPr>
          <w:p>
            <w:r/>
            <w:hyperlink r:id="rId33">
              <w:r>
                <w:rPr>
                  <w:color w:val="0563C1"/>
                  <w:u w:val="single"/>
                </w:rPr>
                <w:t>04_Documentacion/Evidencias/07_Rendimiento_Personal.png</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E-08</w:t>
            </w:r>
          </w:p>
        </w:tc>
        <w:tc>
          <w:tcPr>
            <w:tcW w:type="dxa" w:w="2324"/>
            <w:vAlign w:val="center"/>
          </w:tcPr>
          <w:p>
            <w:pPr>
              <w:spacing w:after="60" w:before="40" w:line="240" w:lineRule="auto"/>
            </w:pPr>
            <w:r>
              <w:rPr>
                <w:rFonts w:ascii="Arial" w:hAnsi="Arial"/>
                <w:sz w:val="18"/>
              </w:rPr>
              <w:t>Solución Big Data</w:t>
            </w:r>
          </w:p>
        </w:tc>
        <w:tc>
          <w:tcPr>
            <w:tcW w:type="dxa" w:w="4365"/>
            <w:vAlign w:val="center"/>
          </w:tcPr>
          <w:p>
            <w:pPr>
              <w:spacing w:after="60" w:before="40" w:line="240" w:lineRule="auto"/>
            </w:pPr>
            <w:r>
              <w:rPr>
                <w:rFonts w:ascii="Arial" w:hAnsi="Arial"/>
                <w:sz w:val="18"/>
              </w:rPr>
              <w:t>Reservada; no desarrollada en T2.</w:t>
            </w:r>
          </w:p>
        </w:tc>
        <w:tc>
          <w:tcPr>
            <w:tcW w:type="dxa" w:w="1757"/>
            <w:vAlign w:val="center"/>
          </w:tcPr>
          <w:p>
            <w:pPr>
              <w:spacing w:after="60" w:before="40" w:line="240" w:lineRule="auto"/>
            </w:pPr>
            <w:r>
              <w:rPr>
                <w:rFonts w:ascii="Arial" w:hAnsi="Arial"/>
                <w:sz w:val="18"/>
              </w:rPr>
              <w:t>Este informe / Grupo 2</w:t>
            </w:r>
          </w:p>
        </w:tc>
      </w:tr>
      <w:tr>
        <w:trPr>
          <w:cantSplit/>
        </w:trPr>
        <w:tc>
          <w:tcPr>
            <w:tcW w:type="dxa" w:w="850"/>
            <w:vAlign w:val="center"/>
          </w:tcPr>
          <w:p>
            <w:pPr>
              <w:spacing w:after="60" w:before="40" w:line="240" w:lineRule="auto"/>
            </w:pPr>
            <w:r>
              <w:rPr>
                <w:rFonts w:ascii="Arial" w:hAnsi="Arial"/>
                <w:sz w:val="18"/>
              </w:rPr>
              <w:t>E-09</w:t>
            </w:r>
          </w:p>
        </w:tc>
        <w:tc>
          <w:tcPr>
            <w:tcW w:type="dxa" w:w="2324"/>
            <w:vAlign w:val="center"/>
          </w:tcPr>
          <w:p>
            <w:pPr>
              <w:spacing w:after="60" w:before="40" w:line="240" w:lineRule="auto"/>
            </w:pPr>
            <w:r>
              <w:rPr>
                <w:rFonts w:ascii="Arial" w:hAnsi="Arial"/>
                <w:sz w:val="18"/>
              </w:rPr>
              <w:t>Prueba de repetición</w:t>
            </w:r>
          </w:p>
        </w:tc>
        <w:tc>
          <w:tcPr>
            <w:tcW w:type="dxa" w:w="4365"/>
            <w:vAlign w:val="center"/>
          </w:tcPr>
          <w:p>
            <w:r/>
            <w:hyperlink r:id="rId34">
              <w:r>
                <w:rPr>
                  <w:color w:val="0563C1"/>
                  <w:u w:val="single"/>
                </w:rPr>
                <w:t>04_Documentacion/01_Validacion_ETL.sql</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E-10</w:t>
            </w:r>
          </w:p>
        </w:tc>
        <w:tc>
          <w:tcPr>
            <w:tcW w:type="dxa" w:w="2324"/>
            <w:vAlign w:val="center"/>
          </w:tcPr>
          <w:p>
            <w:pPr>
              <w:spacing w:after="60" w:before="40" w:line="240" w:lineRule="auto"/>
            </w:pPr>
            <w:r>
              <w:rPr>
                <w:rFonts w:ascii="Arial" w:hAnsi="Arial"/>
                <w:sz w:val="18"/>
              </w:rPr>
              <w:t>Bitácora y conciliación</w:t>
            </w:r>
          </w:p>
        </w:tc>
        <w:tc>
          <w:tcPr>
            <w:tcW w:type="dxa" w:w="4365"/>
            <w:vAlign w:val="center"/>
          </w:tcPr>
          <w:p>
            <w:r/>
            <w:hyperlink r:id="rId35">
              <w:r>
                <w:rPr>
                  <w:color w:val="0563C1"/>
                  <w:u w:val="single"/>
                </w:rPr>
                <w:t>04_Documentacion/Evidencias/05_Conciliacion_Idempotencia.png</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E-11</w:t>
            </w:r>
          </w:p>
        </w:tc>
        <w:tc>
          <w:tcPr>
            <w:tcW w:type="dxa" w:w="2324"/>
            <w:vAlign w:val="center"/>
          </w:tcPr>
          <w:p>
            <w:pPr>
              <w:spacing w:after="60" w:before="40" w:line="240" w:lineRule="auto"/>
            </w:pPr>
            <w:r>
              <w:rPr>
                <w:rFonts w:ascii="Arial" w:hAnsi="Arial"/>
                <w:sz w:val="18"/>
              </w:rPr>
              <w:t>Conclusiones y recomendaciones</w:t>
            </w:r>
          </w:p>
        </w:tc>
        <w:tc>
          <w:tcPr>
            <w:tcW w:type="dxa" w:w="4365"/>
            <w:vAlign w:val="center"/>
          </w:tcPr>
          <w:p>
            <w:r/>
            <w:hyperlink w:anchor="seccion_59">
              <w:r>
                <w:t>CAPÍTULO VII: CONCLUSIONES TÉCNICAS Y RECOMENDACIONES</w:t>
              </w:r>
            </w:hyperlink>
          </w:p>
        </w:tc>
        <w:tc>
          <w:tcPr>
            <w:tcW w:type="dxa" w:w="1757"/>
            <w:vAlign w:val="center"/>
          </w:tcPr>
          <w:p>
            <w:pPr>
              <w:spacing w:after="60" w:before="40" w:line="240" w:lineRule="auto"/>
            </w:pPr>
            <w:r>
              <w:rPr>
                <w:rFonts w:ascii="Arial" w:hAnsi="Arial"/>
                <w:sz w:val="18"/>
              </w:rPr>
              <w:t>Este informe / Grupo 2</w:t>
            </w:r>
          </w:p>
        </w:tc>
      </w:tr>
      <w:tr>
        <w:trPr>
          <w:cantSplit/>
        </w:trPr>
        <w:tc>
          <w:tcPr>
            <w:tcW w:type="dxa" w:w="850"/>
            <w:vAlign w:val="center"/>
          </w:tcPr>
          <w:p>
            <w:pPr>
              <w:spacing w:after="60" w:before="40" w:line="240" w:lineRule="auto"/>
            </w:pPr>
            <w:r>
              <w:rPr>
                <w:rFonts w:ascii="Arial" w:hAnsi="Arial"/>
                <w:sz w:val="18"/>
              </w:rPr>
              <w:t>E-12</w:t>
            </w:r>
          </w:p>
        </w:tc>
        <w:tc>
          <w:tcPr>
            <w:tcW w:type="dxa" w:w="2324"/>
            <w:vAlign w:val="center"/>
          </w:tcPr>
          <w:p>
            <w:pPr>
              <w:spacing w:after="60" w:before="40" w:line="240" w:lineRule="auto"/>
            </w:pPr>
            <w:r>
              <w:rPr>
                <w:rFonts w:ascii="Arial" w:hAnsi="Arial"/>
                <w:sz w:val="18"/>
              </w:rPr>
              <w:t>Registro de cambios</w:t>
            </w:r>
          </w:p>
        </w:tc>
        <w:tc>
          <w:tcPr>
            <w:tcW w:type="dxa" w:w="4365"/>
            <w:vAlign w:val="center"/>
          </w:tcPr>
          <w:p>
            <w:r/>
            <w:hyperlink r:id="rId36">
              <w:r>
                <w:rPr>
                  <w:color w:val="0563C1"/>
                  <w:u w:val="single"/>
                </w:rPr>
                <w:t>04_Documentacion/05_Registro_Cambios.md</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E-13</w:t>
            </w:r>
          </w:p>
        </w:tc>
        <w:tc>
          <w:tcPr>
            <w:tcW w:type="dxa" w:w="2324"/>
            <w:vAlign w:val="center"/>
          </w:tcPr>
          <w:p>
            <w:pPr>
              <w:spacing w:after="60" w:before="40" w:line="240" w:lineRule="auto"/>
            </w:pPr>
            <w:r>
              <w:rPr>
                <w:rFonts w:ascii="Arial" w:hAnsi="Arial"/>
                <w:sz w:val="18"/>
              </w:rPr>
              <w:t>Reporte funcional de Power BI</w:t>
            </w:r>
          </w:p>
        </w:tc>
        <w:tc>
          <w:tcPr>
            <w:tcW w:type="dxa" w:w="4365"/>
            <w:vAlign w:val="center"/>
          </w:tcPr>
          <w:p>
            <w:r/>
            <w:hyperlink r:id="rId24">
              <w:r>
                <w:rPr>
                  <w:color w:val="0563C1"/>
                  <w:u w:val="single"/>
                </w:rPr>
                <w:t>03_Vistas_PowerBI/Reporte_Rendimiento_Personal.pbix</w:t>
              </w:r>
            </w:hyperlink>
          </w:p>
        </w:tc>
        <w:tc>
          <w:tcPr>
            <w:tcW w:type="dxa" w:w="1757"/>
            <w:vAlign w:val="center"/>
          </w:tcPr>
          <w:p>
            <w:pPr>
              <w:spacing w:after="60" w:before="40" w:line="240" w:lineRule="auto"/>
            </w:pPr>
            <w:r>
              <w:rPr>
                <w:rFonts w:ascii="Arial" w:hAnsi="Arial"/>
                <w:sz w:val="18"/>
              </w:rPr>
              <w:t>9726a54 / Grupo 2</w:t>
            </w:r>
          </w:p>
        </w:tc>
      </w:tr>
      <w:tr>
        <w:trPr>
          <w:cantSplit/>
        </w:trPr>
        <w:tc>
          <w:tcPr>
            <w:tcW w:type="dxa" w:w="850"/>
            <w:vAlign w:val="center"/>
          </w:tcPr>
          <w:p>
            <w:pPr>
              <w:spacing w:after="60" w:before="40" w:line="240" w:lineRule="auto"/>
            </w:pPr>
            <w:r>
              <w:rPr>
                <w:rFonts w:ascii="Arial" w:hAnsi="Arial"/>
                <w:sz w:val="18"/>
              </w:rPr>
              <w:t>E-14</w:t>
            </w:r>
          </w:p>
        </w:tc>
        <w:tc>
          <w:tcPr>
            <w:tcW w:type="dxa" w:w="2324"/>
            <w:vAlign w:val="center"/>
          </w:tcPr>
          <w:p>
            <w:pPr>
              <w:spacing w:after="60" w:before="40" w:line="240" w:lineRule="auto"/>
            </w:pPr>
            <w:r>
              <w:rPr>
                <w:rFonts w:ascii="Arial" w:hAnsi="Arial"/>
                <w:sz w:val="18"/>
              </w:rPr>
              <w:t>Demostración Big Data</w:t>
            </w:r>
          </w:p>
        </w:tc>
        <w:tc>
          <w:tcPr>
            <w:tcW w:type="dxa" w:w="4365"/>
            <w:vAlign w:val="center"/>
          </w:tcPr>
          <w:p>
            <w:pPr>
              <w:spacing w:after="60" w:before="40" w:line="240" w:lineRule="auto"/>
            </w:pPr>
            <w:r>
              <w:rPr>
                <w:rFonts w:ascii="Arial" w:hAnsi="Arial"/>
                <w:sz w:val="18"/>
              </w:rPr>
              <w:t>Reservada; no desarrollada en T2.</w:t>
            </w:r>
          </w:p>
        </w:tc>
        <w:tc>
          <w:tcPr>
            <w:tcW w:type="dxa" w:w="1757"/>
            <w:vAlign w:val="center"/>
          </w:tcPr>
          <w:p>
            <w:pPr>
              <w:spacing w:after="60" w:before="40" w:line="240" w:lineRule="auto"/>
            </w:pPr>
            <w:r>
              <w:rPr>
                <w:rFonts w:ascii="Arial" w:hAnsi="Arial"/>
                <w:sz w:val="18"/>
              </w:rPr>
              <w:t>Este informe / Grupo 2</w:t>
            </w:r>
          </w:p>
        </w:tc>
      </w:tr>
      <w:tr>
        <w:trPr>
          <w:cantSplit/>
        </w:trPr>
        <w:tc>
          <w:tcPr>
            <w:tcW w:type="dxa" w:w="850"/>
            <w:vAlign w:val="center"/>
          </w:tcPr>
          <w:p>
            <w:pPr>
              <w:spacing w:after="60" w:before="40" w:line="240" w:lineRule="auto"/>
            </w:pPr>
            <w:r>
              <w:rPr>
                <w:rFonts w:ascii="Arial" w:hAnsi="Arial"/>
                <w:sz w:val="18"/>
              </w:rPr>
              <w:t>E-15</w:t>
            </w:r>
          </w:p>
        </w:tc>
        <w:tc>
          <w:tcPr>
            <w:tcW w:type="dxa" w:w="2324"/>
            <w:vAlign w:val="center"/>
          </w:tcPr>
          <w:p>
            <w:pPr>
              <w:spacing w:after="60" w:before="40" w:line="240" w:lineRule="auto"/>
            </w:pPr>
            <w:r>
              <w:rPr>
                <w:rFonts w:ascii="Arial" w:hAnsi="Arial"/>
                <w:sz w:val="18"/>
              </w:rPr>
              <w:t>Historial y aportes</w:t>
            </w:r>
          </w:p>
        </w:tc>
        <w:tc>
          <w:tcPr>
            <w:tcW w:type="dxa" w:w="4365"/>
            <w:vAlign w:val="center"/>
          </w:tcPr>
          <w:p>
            <w:r/>
            <w:hyperlink r:id="rId20">
              <w:r>
                <w:rPr>
                  <w:color w:val="0563C1"/>
                  <w:u w:val="single"/>
                </w:rPr>
                <w:t>Historial de commits de la versión revisada</w:t>
              </w:r>
            </w:hyperlink>
          </w:p>
        </w:tc>
        <w:tc>
          <w:tcPr>
            <w:tcW w:type="dxa" w:w="1757"/>
            <w:vAlign w:val="center"/>
          </w:tcPr>
          <w:p>
            <w:pPr>
              <w:spacing w:after="60" w:before="40" w:line="240" w:lineRule="auto"/>
            </w:pPr>
            <w:r>
              <w:rPr>
                <w:rFonts w:ascii="Arial" w:hAnsi="Arial"/>
                <w:sz w:val="18"/>
              </w:rPr>
              <w:t>Este informe / Grupo 2</w:t>
            </w:r>
          </w:p>
        </w:tc>
      </w:tr>
      <w:tr>
        <w:trPr>
          <w:cantSplit/>
        </w:trPr>
        <w:tc>
          <w:tcPr>
            <w:tcW w:type="dxa" w:w="850"/>
            <w:vAlign w:val="center"/>
          </w:tcPr>
          <w:p>
            <w:pPr>
              <w:spacing w:after="60" w:before="40" w:line="240" w:lineRule="auto"/>
            </w:pPr>
            <w:r>
              <w:rPr>
                <w:rFonts w:ascii="Arial" w:hAnsi="Arial"/>
                <w:sz w:val="18"/>
              </w:rPr>
              <w:t>E-16</w:t>
            </w:r>
          </w:p>
        </w:tc>
        <w:tc>
          <w:tcPr>
            <w:tcW w:type="dxa" w:w="2324"/>
            <w:vAlign w:val="center"/>
          </w:tcPr>
          <w:p>
            <w:pPr>
              <w:spacing w:after="60" w:before="40" w:line="240" w:lineRule="auto"/>
            </w:pPr>
            <w:r>
              <w:rPr>
                <w:rFonts w:ascii="Arial" w:hAnsi="Arial"/>
                <w:sz w:val="18"/>
              </w:rPr>
              <w:t>Uso responsable de IA</w:t>
            </w:r>
          </w:p>
        </w:tc>
        <w:tc>
          <w:tcPr>
            <w:tcW w:type="dxa" w:w="4365"/>
            <w:vAlign w:val="center"/>
          </w:tcPr>
          <w:p>
            <w:r/>
            <w:hyperlink w:anchor="seccion_84">
              <w:r>
                <w:t>Anexo I. Declaración de uso responsable de IA</w:t>
              </w:r>
            </w:hyperlink>
          </w:p>
        </w:tc>
        <w:tc>
          <w:tcPr>
            <w:tcW w:type="dxa" w:w="1757"/>
            <w:vAlign w:val="center"/>
          </w:tcPr>
          <w:p>
            <w:pPr>
              <w:spacing w:after="60" w:before="40" w:line="240" w:lineRule="auto"/>
            </w:pPr>
            <w:r>
              <w:rPr>
                <w:rFonts w:ascii="Arial" w:hAnsi="Arial"/>
                <w:sz w:val="18"/>
              </w:rPr>
              <w:t>Este informe / Grupo 2</w:t>
            </w:r>
          </w:p>
        </w:tc>
      </w:tr>
    </w:tbl>
    <w:p>
      <w:r>
        <w:rPr>
          <w:b w:val="0"/>
        </w:rPr>
      </w:r>
    </w:p>
    <w:p>
      <w:r>
        <w:rPr>
          <w:b w:val="0"/>
        </w:rPr>
        <w:t>E-05 incluye también la captura de relaciones de Power BI:</w:t>
      </w:r>
    </w:p>
    <w:p>
      <w:r>
        <w:rPr>
          <w:b w:val="0"/>
        </w:rPr>
      </w:r>
      <w:hyperlink r:id="rId37">
        <w:r>
          <w:rPr>
            <w:color w:val="0563C1"/>
            <w:u w:val="single"/>
          </w:rPr>
          <w:t>03_Vistas_PowerBI/06_Modelo_PowerBI.png</w:t>
        </w:r>
      </w:hyperlink>
    </w:p>
    <w:p>
      <w:r>
        <w:rPr>
          <w:b w:val="0"/>
        </w:rPr>
        <w:t>La responsabilidad de esta tabla corresponde a la custodia grupal del entregable, no a la atribución individual de todos los commits. No se registran como entregadas las evidencias de Big Data ni se crean enlaces vacíos para ellas.</w:t>
      </w:r>
    </w:p>
    <w:p>
      <w:bookmarkStart w:id="70" w:name="seccion_70"/>
      <w:pPr>
        <w:pStyle w:val="Heading2"/>
      </w:pPr>
      <w:r>
        <w:t>Anexo A. Requisitos y criterios de aceptación</w:t>
      </w:r>
      <w:bookmarkEnd w:id="70"/>
    </w:p>
    <w:p>
      <w:r>
        <w:rPr>
          <w:b w:val="0"/>
        </w:rPr>
        <w:t>Los requerimientos y sus criterios figuran en 3.1; las pruebas que los respaldan están en 5.4. La guía permite reproducir la instalación y revisar los resultados sin depender de una conexión con Clever Cloud.</w:t>
      </w:r>
    </w:p>
    <w:p>
      <w:r>
        <w:rPr>
          <w:b w:val="0"/>
        </w:rPr>
      </w:r>
      <w:hyperlink r:id="rId38">
        <w:r>
          <w:rPr>
            <w:color w:val="0563C1"/>
            <w:u w:val="single"/>
          </w:rPr>
          <w:t>Guía completa de instalación y consulta</w:t>
        </w:r>
      </w:hyperlink>
    </w:p>
    <w:p>
      <w:bookmarkStart w:id="71" w:name="seccion_71"/>
      <w:pPr>
        <w:pStyle w:val="Heading2"/>
      </w:pPr>
      <w:r>
        <w:t>Anexo B. Diccionario del Data Mart</w:t>
      </w:r>
      <w:bookmarkEnd w:id="71"/>
    </w:p>
    <w:p>
      <w:r>
        <w:rPr>
          <w:b w:val="0"/>
        </w:rPr>
        <w:t>Los nombres y tipos siguientes proceden de 02_Creacion_Data_Mart.sql. PK = clave primaria; FK = clave foránea; UQ = valor o combinación única.</w:t>
      </w:r>
    </w:p>
    <w:p>
      <w:bookmarkStart w:id="72" w:name="seccion_72"/>
      <w:pPr>
        <w:pStyle w:val="Heading3"/>
      </w:pPr>
      <w:r>
        <w:t>dim_trabajador</w:t>
      </w:r>
      <w:bookmarkEnd w:id="72"/>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18"/>
            <w:shd w:fill="E7EFF5"/>
            <w:vAlign w:val="center"/>
          </w:tcPr>
          <w:p>
            <w:pPr>
              <w:spacing w:after="60" w:before="40" w:line="240" w:lineRule="auto"/>
            </w:pPr>
            <w:r>
              <w:rPr>
                <w:rFonts w:ascii="Arial" w:hAnsi="Arial"/>
                <w:b/>
                <w:sz w:val="18"/>
              </w:rPr>
              <w:t>CAMPO</w:t>
            </w:r>
          </w:p>
        </w:tc>
        <w:tc>
          <w:tcPr>
            <w:tcW w:type="dxa" w:w="1871"/>
            <w:shd w:fill="E7EFF5"/>
            <w:vAlign w:val="center"/>
          </w:tcPr>
          <w:p>
            <w:pPr>
              <w:spacing w:after="60" w:before="40" w:line="240" w:lineRule="auto"/>
            </w:pPr>
            <w:r>
              <w:rPr>
                <w:rFonts w:ascii="Arial" w:hAnsi="Arial"/>
                <w:b/>
                <w:sz w:val="18"/>
              </w:rPr>
              <w:t>TIPO</w:t>
            </w:r>
          </w:p>
        </w:tc>
        <w:tc>
          <w:tcPr>
            <w:tcW w:type="dxa" w:w="4309"/>
            <w:shd w:fill="E7EFF5"/>
            <w:vAlign w:val="center"/>
          </w:tcPr>
          <w:p>
            <w:pPr>
              <w:spacing w:after="60" w:before="40" w:line="240" w:lineRule="auto"/>
            </w:pPr>
            <w:r>
              <w:rPr>
                <w:rFonts w:ascii="Arial" w:hAnsi="Arial"/>
                <w:b/>
                <w:sz w:val="18"/>
              </w:rPr>
              <w:t>DESCRIPCIÓN</w:t>
            </w:r>
          </w:p>
        </w:tc>
      </w:tr>
      <w:tr>
        <w:trPr>
          <w:cantSplit/>
        </w:trPr>
        <w:tc>
          <w:tcPr>
            <w:tcW w:type="dxa" w:w="3118"/>
            <w:vAlign w:val="center"/>
          </w:tcPr>
          <w:p>
            <w:pPr>
              <w:spacing w:after="60" w:before="40" w:line="240" w:lineRule="auto"/>
            </w:pPr>
            <w:r>
              <w:rPr>
                <w:rFonts w:ascii="Arial" w:hAnsi="Arial"/>
                <w:sz w:val="18"/>
              </w:rPr>
              <w:t>id_trabajador</w:t>
            </w:r>
          </w:p>
        </w:tc>
        <w:tc>
          <w:tcPr>
            <w:tcW w:type="dxa" w:w="1871"/>
            <w:vAlign w:val="center"/>
          </w:tcPr>
          <w:p>
            <w:pPr>
              <w:spacing w:after="60" w:before="40" w:line="240" w:lineRule="auto"/>
            </w:pPr>
            <w:r>
              <w:rPr>
                <w:rFonts w:ascii="Arial" w:hAnsi="Arial"/>
                <w:sz w:val="18"/>
              </w:rPr>
              <w:t>int IDENTITY</w:t>
            </w:r>
          </w:p>
        </w:tc>
        <w:tc>
          <w:tcPr>
            <w:tcW w:type="dxa" w:w="4309"/>
            <w:vAlign w:val="center"/>
          </w:tcPr>
          <w:p>
            <w:pPr>
              <w:spacing w:after="60" w:before="40" w:line="240" w:lineRule="auto"/>
            </w:pPr>
            <w:r>
              <w:rPr>
                <w:rFonts w:ascii="Arial" w:hAnsi="Arial"/>
                <w:sz w:val="18"/>
              </w:rPr>
              <w:t>PK interna.</w:t>
            </w:r>
          </w:p>
        </w:tc>
      </w:tr>
      <w:tr>
        <w:trPr>
          <w:cantSplit/>
        </w:trPr>
        <w:tc>
          <w:tcPr>
            <w:tcW w:type="dxa" w:w="3118"/>
            <w:vAlign w:val="center"/>
          </w:tcPr>
          <w:p>
            <w:pPr>
              <w:spacing w:after="60" w:before="40" w:line="240" w:lineRule="auto"/>
            </w:pPr>
            <w:r>
              <w:rPr>
                <w:rFonts w:ascii="Arial" w:hAnsi="Arial"/>
                <w:sz w:val="18"/>
              </w:rPr>
              <w:t>id_trabajador_origen</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UQ; identificador del trabajador en OLTP.</w:t>
            </w:r>
          </w:p>
        </w:tc>
      </w:tr>
      <w:tr>
        <w:trPr>
          <w:cantSplit/>
        </w:trPr>
        <w:tc>
          <w:tcPr>
            <w:tcW w:type="dxa" w:w="3118"/>
            <w:vAlign w:val="center"/>
          </w:tcPr>
          <w:p>
            <w:pPr>
              <w:spacing w:after="60" w:before="40" w:line="240" w:lineRule="auto"/>
            </w:pPr>
            <w:r>
              <w:rPr>
                <w:rFonts w:ascii="Arial" w:hAnsi="Arial"/>
                <w:sz w:val="18"/>
              </w:rPr>
              <w:t>codigo_trabajador</w:t>
            </w:r>
          </w:p>
        </w:tc>
        <w:tc>
          <w:tcPr>
            <w:tcW w:type="dxa" w:w="1871"/>
            <w:vAlign w:val="center"/>
          </w:tcPr>
          <w:p>
            <w:pPr>
              <w:spacing w:after="60" w:before="40" w:line="240" w:lineRule="auto"/>
            </w:pPr>
            <w:r>
              <w:rPr>
                <w:rFonts w:ascii="Arial" w:hAnsi="Arial"/>
                <w:sz w:val="18"/>
              </w:rPr>
              <w:t>nvarchar(20)</w:t>
            </w:r>
          </w:p>
        </w:tc>
        <w:tc>
          <w:tcPr>
            <w:tcW w:type="dxa" w:w="4309"/>
            <w:vAlign w:val="center"/>
          </w:tcPr>
          <w:p>
            <w:pPr>
              <w:spacing w:after="60" w:before="40" w:line="240" w:lineRule="auto"/>
            </w:pPr>
            <w:r>
              <w:rPr>
                <w:rFonts w:ascii="Arial" w:hAnsi="Arial"/>
                <w:sz w:val="18"/>
              </w:rPr>
              <w:t>Código del origen.</w:t>
            </w:r>
          </w:p>
        </w:tc>
      </w:tr>
      <w:tr>
        <w:trPr>
          <w:cantSplit/>
        </w:trPr>
        <w:tc>
          <w:tcPr>
            <w:tcW w:type="dxa" w:w="3118"/>
            <w:vAlign w:val="center"/>
          </w:tcPr>
          <w:p>
            <w:pPr>
              <w:spacing w:after="60" w:before="40" w:line="240" w:lineRule="auto"/>
            </w:pPr>
            <w:r>
              <w:rPr>
                <w:rFonts w:ascii="Arial" w:hAnsi="Arial"/>
                <w:sz w:val="18"/>
              </w:rPr>
              <w:t>nombre_completo</w:t>
            </w:r>
          </w:p>
        </w:tc>
        <w:tc>
          <w:tcPr>
            <w:tcW w:type="dxa" w:w="1871"/>
            <w:vAlign w:val="center"/>
          </w:tcPr>
          <w:p>
            <w:pPr>
              <w:spacing w:after="60" w:before="40" w:line="240" w:lineRule="auto"/>
            </w:pPr>
            <w:r>
              <w:rPr>
                <w:rFonts w:ascii="Arial" w:hAnsi="Arial"/>
                <w:sz w:val="18"/>
              </w:rPr>
              <w:t>nvarchar(150)</w:t>
            </w:r>
          </w:p>
        </w:tc>
        <w:tc>
          <w:tcPr>
            <w:tcW w:type="dxa" w:w="4309"/>
            <w:vAlign w:val="center"/>
          </w:tcPr>
          <w:p>
            <w:pPr>
              <w:spacing w:after="60" w:before="40" w:line="240" w:lineRule="auto"/>
            </w:pPr>
            <w:r>
              <w:rPr>
                <w:rFonts w:ascii="Arial" w:hAnsi="Arial"/>
                <w:sz w:val="18"/>
              </w:rPr>
              <w:t>Nombre conservado del padrón.</w:t>
            </w:r>
          </w:p>
        </w:tc>
      </w:tr>
      <w:tr>
        <w:trPr>
          <w:cantSplit/>
        </w:trPr>
        <w:tc>
          <w:tcPr>
            <w:tcW w:type="dxa" w:w="3118"/>
            <w:vAlign w:val="center"/>
          </w:tcPr>
          <w:p>
            <w:pPr>
              <w:spacing w:after="60" w:before="40" w:line="240" w:lineRule="auto"/>
            </w:pPr>
            <w:r>
              <w:rPr>
                <w:rFonts w:ascii="Arial" w:hAnsi="Arial"/>
                <w:sz w:val="18"/>
              </w:rPr>
              <w:t>cargo</w:t>
            </w:r>
          </w:p>
        </w:tc>
        <w:tc>
          <w:tcPr>
            <w:tcW w:type="dxa" w:w="1871"/>
            <w:vAlign w:val="center"/>
          </w:tcPr>
          <w:p>
            <w:pPr>
              <w:spacing w:after="60" w:before="40" w:line="240" w:lineRule="auto"/>
            </w:pPr>
            <w:r>
              <w:rPr>
                <w:rFonts w:ascii="Arial" w:hAnsi="Arial"/>
                <w:sz w:val="18"/>
              </w:rPr>
              <w:t>nvarchar(100)</w:t>
            </w:r>
          </w:p>
        </w:tc>
        <w:tc>
          <w:tcPr>
            <w:tcW w:type="dxa" w:w="4309"/>
            <w:vAlign w:val="center"/>
          </w:tcPr>
          <w:p>
            <w:pPr>
              <w:spacing w:after="60" w:before="40" w:line="240" w:lineRule="auto"/>
            </w:pPr>
            <w:r>
              <w:rPr>
                <w:rFonts w:ascii="Arial" w:hAnsi="Arial"/>
                <w:sz w:val="18"/>
              </w:rPr>
              <w:t>Cargo actual.</w:t>
            </w:r>
          </w:p>
        </w:tc>
      </w:tr>
      <w:tr>
        <w:trPr>
          <w:cantSplit/>
        </w:trPr>
        <w:tc>
          <w:tcPr>
            <w:tcW w:type="dxa" w:w="3118"/>
            <w:vAlign w:val="center"/>
          </w:tcPr>
          <w:p>
            <w:pPr>
              <w:spacing w:after="60" w:before="40" w:line="240" w:lineRule="auto"/>
            </w:pPr>
            <w:r>
              <w:rPr>
                <w:rFonts w:ascii="Arial" w:hAnsi="Arial"/>
                <w:sz w:val="18"/>
              </w:rPr>
              <w:t>tipo_jornada</w:t>
            </w:r>
          </w:p>
        </w:tc>
        <w:tc>
          <w:tcPr>
            <w:tcW w:type="dxa" w:w="1871"/>
            <w:vAlign w:val="center"/>
          </w:tcPr>
          <w:p>
            <w:pPr>
              <w:spacing w:after="60" w:before="40" w:line="240" w:lineRule="auto"/>
            </w:pPr>
            <w:r>
              <w:rPr>
                <w:rFonts w:ascii="Arial" w:hAnsi="Arial"/>
                <w:sz w:val="18"/>
              </w:rPr>
              <w:t>nvarchar(20)</w:t>
            </w:r>
          </w:p>
        </w:tc>
        <w:tc>
          <w:tcPr>
            <w:tcW w:type="dxa" w:w="4309"/>
            <w:vAlign w:val="center"/>
          </w:tcPr>
          <w:p>
            <w:pPr>
              <w:spacing w:after="60" w:before="40" w:line="240" w:lineRule="auto"/>
            </w:pPr>
            <w:r>
              <w:rPr>
                <w:rFonts w:ascii="Arial" w:hAnsi="Arial"/>
                <w:sz w:val="18"/>
              </w:rPr>
              <w:t>Regular o Practicante según regla académica.</w:t>
            </w:r>
          </w:p>
        </w:tc>
      </w:tr>
      <w:tr>
        <w:trPr>
          <w:cantSplit/>
        </w:trPr>
        <w:tc>
          <w:tcPr>
            <w:tcW w:type="dxa" w:w="3118"/>
            <w:vAlign w:val="center"/>
          </w:tcPr>
          <w:p>
            <w:pPr>
              <w:spacing w:after="60" w:before="40" w:line="240" w:lineRule="auto"/>
            </w:pPr>
            <w:r>
              <w:rPr>
                <w:rFonts w:ascii="Arial" w:hAnsi="Arial"/>
                <w:sz w:val="18"/>
              </w:rPr>
              <w:t>estado</w:t>
            </w:r>
          </w:p>
        </w:tc>
        <w:tc>
          <w:tcPr>
            <w:tcW w:type="dxa" w:w="1871"/>
            <w:vAlign w:val="center"/>
          </w:tcPr>
          <w:p>
            <w:pPr>
              <w:spacing w:after="60" w:before="40" w:line="240" w:lineRule="auto"/>
            </w:pPr>
            <w:r>
              <w:rPr>
                <w:rFonts w:ascii="Arial" w:hAnsi="Arial"/>
                <w:sz w:val="18"/>
              </w:rPr>
              <w:t>nvarchar(10)</w:t>
            </w:r>
          </w:p>
        </w:tc>
        <w:tc>
          <w:tcPr>
            <w:tcW w:type="dxa" w:w="4309"/>
            <w:vAlign w:val="center"/>
          </w:tcPr>
          <w:p>
            <w:pPr>
              <w:spacing w:after="60" w:before="40" w:line="240" w:lineRule="auto"/>
            </w:pPr>
            <w:r>
              <w:rPr>
                <w:rFonts w:ascii="Arial" w:hAnsi="Arial"/>
                <w:sz w:val="18"/>
              </w:rPr>
              <w:t>Estado actual del empleado.</w:t>
            </w:r>
          </w:p>
        </w:tc>
      </w:tr>
    </w:tbl>
    <w:p>
      <w:r>
        <w:rPr>
          <w:b w:val="0"/>
        </w:rPr>
      </w:r>
    </w:p>
    <w:p>
      <w:bookmarkStart w:id="73" w:name="seccion_73"/>
      <w:pPr>
        <w:pStyle w:val="Heading3"/>
      </w:pPr>
      <w:r>
        <w:t>dim_tiempo</w:t>
      </w:r>
      <w:bookmarkEnd w:id="73"/>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18"/>
            <w:shd w:fill="E7EFF5"/>
            <w:vAlign w:val="center"/>
          </w:tcPr>
          <w:p>
            <w:pPr>
              <w:spacing w:after="60" w:before="40" w:line="240" w:lineRule="auto"/>
            </w:pPr>
            <w:r>
              <w:rPr>
                <w:rFonts w:ascii="Arial" w:hAnsi="Arial"/>
                <w:b/>
                <w:sz w:val="18"/>
              </w:rPr>
              <w:t>CAMPO</w:t>
            </w:r>
          </w:p>
        </w:tc>
        <w:tc>
          <w:tcPr>
            <w:tcW w:type="dxa" w:w="1871"/>
            <w:shd w:fill="E7EFF5"/>
            <w:vAlign w:val="center"/>
          </w:tcPr>
          <w:p>
            <w:pPr>
              <w:spacing w:after="60" w:before="40" w:line="240" w:lineRule="auto"/>
            </w:pPr>
            <w:r>
              <w:rPr>
                <w:rFonts w:ascii="Arial" w:hAnsi="Arial"/>
                <w:b/>
                <w:sz w:val="18"/>
              </w:rPr>
              <w:t>TIPO</w:t>
            </w:r>
          </w:p>
        </w:tc>
        <w:tc>
          <w:tcPr>
            <w:tcW w:type="dxa" w:w="4309"/>
            <w:shd w:fill="E7EFF5"/>
            <w:vAlign w:val="center"/>
          </w:tcPr>
          <w:p>
            <w:pPr>
              <w:spacing w:after="60" w:before="40" w:line="240" w:lineRule="auto"/>
            </w:pPr>
            <w:r>
              <w:rPr>
                <w:rFonts w:ascii="Arial" w:hAnsi="Arial"/>
                <w:b/>
                <w:sz w:val="18"/>
              </w:rPr>
              <w:t>DESCRIPCIÓN</w:t>
            </w:r>
          </w:p>
        </w:tc>
      </w:tr>
      <w:tr>
        <w:trPr>
          <w:cantSplit/>
        </w:trPr>
        <w:tc>
          <w:tcPr>
            <w:tcW w:type="dxa" w:w="3118"/>
            <w:vAlign w:val="center"/>
          </w:tcPr>
          <w:p>
            <w:pPr>
              <w:spacing w:after="60" w:before="40" w:line="240" w:lineRule="auto"/>
            </w:pPr>
            <w:r>
              <w:rPr>
                <w:rFonts w:ascii="Arial" w:hAnsi="Arial"/>
                <w:sz w:val="18"/>
              </w:rPr>
              <w:t>id_tiempo</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PK; AAAAMMDD.</w:t>
            </w:r>
          </w:p>
        </w:tc>
      </w:tr>
      <w:tr>
        <w:trPr>
          <w:cantSplit/>
        </w:trPr>
        <w:tc>
          <w:tcPr>
            <w:tcW w:type="dxa" w:w="3118"/>
            <w:vAlign w:val="center"/>
          </w:tcPr>
          <w:p>
            <w:pPr>
              <w:spacing w:after="60" w:before="40" w:line="240" w:lineRule="auto"/>
            </w:pPr>
            <w:r>
              <w:rPr>
                <w:rFonts w:ascii="Arial" w:hAnsi="Arial"/>
                <w:sz w:val="18"/>
              </w:rPr>
              <w:t>fecha</w:t>
            </w:r>
          </w:p>
        </w:tc>
        <w:tc>
          <w:tcPr>
            <w:tcW w:type="dxa" w:w="1871"/>
            <w:vAlign w:val="center"/>
          </w:tcPr>
          <w:p>
            <w:pPr>
              <w:spacing w:after="60" w:before="40" w:line="240" w:lineRule="auto"/>
            </w:pPr>
            <w:r>
              <w:rPr>
                <w:rFonts w:ascii="Arial" w:hAnsi="Arial"/>
                <w:sz w:val="18"/>
              </w:rPr>
              <w:t>date</w:t>
            </w:r>
          </w:p>
        </w:tc>
        <w:tc>
          <w:tcPr>
            <w:tcW w:type="dxa" w:w="4309"/>
            <w:vAlign w:val="center"/>
          </w:tcPr>
          <w:p>
            <w:pPr>
              <w:spacing w:after="60" w:before="40" w:line="240" w:lineRule="auto"/>
            </w:pPr>
            <w:r>
              <w:rPr>
                <w:rFonts w:ascii="Arial" w:hAnsi="Arial"/>
                <w:sz w:val="18"/>
              </w:rPr>
              <w:t>UQ; día calendario.</w:t>
            </w:r>
          </w:p>
        </w:tc>
      </w:tr>
      <w:tr>
        <w:trPr>
          <w:cantSplit/>
        </w:trPr>
        <w:tc>
          <w:tcPr>
            <w:tcW w:type="dxa" w:w="3118"/>
            <w:vAlign w:val="center"/>
          </w:tcPr>
          <w:p>
            <w:pPr>
              <w:spacing w:after="60" w:before="40" w:line="240" w:lineRule="auto"/>
            </w:pPr>
            <w:r>
              <w:rPr>
                <w:rFonts w:ascii="Arial" w:hAnsi="Arial"/>
                <w:sz w:val="18"/>
              </w:rPr>
              <w:t>anio</w:t>
            </w:r>
          </w:p>
        </w:tc>
        <w:tc>
          <w:tcPr>
            <w:tcW w:type="dxa" w:w="1871"/>
            <w:vAlign w:val="center"/>
          </w:tcPr>
          <w:p>
            <w:pPr>
              <w:spacing w:after="60" w:before="40" w:line="240" w:lineRule="auto"/>
            </w:pPr>
            <w:r>
              <w:rPr>
                <w:rFonts w:ascii="Arial" w:hAnsi="Arial"/>
                <w:sz w:val="18"/>
              </w:rPr>
              <w:t>smallint</w:t>
            </w:r>
          </w:p>
        </w:tc>
        <w:tc>
          <w:tcPr>
            <w:tcW w:type="dxa" w:w="4309"/>
            <w:vAlign w:val="center"/>
          </w:tcPr>
          <w:p>
            <w:pPr>
              <w:spacing w:after="60" w:before="40" w:line="240" w:lineRule="auto"/>
            </w:pPr>
            <w:r>
              <w:rPr>
                <w:rFonts w:ascii="Arial" w:hAnsi="Arial"/>
                <w:sz w:val="18"/>
              </w:rPr>
              <w:t>Año.</w:t>
            </w:r>
          </w:p>
        </w:tc>
      </w:tr>
      <w:tr>
        <w:trPr>
          <w:cantSplit/>
        </w:trPr>
        <w:tc>
          <w:tcPr>
            <w:tcW w:type="dxa" w:w="3118"/>
            <w:vAlign w:val="center"/>
          </w:tcPr>
          <w:p>
            <w:pPr>
              <w:spacing w:after="60" w:before="40" w:line="240" w:lineRule="auto"/>
            </w:pPr>
            <w:r>
              <w:rPr>
                <w:rFonts w:ascii="Arial" w:hAnsi="Arial"/>
                <w:sz w:val="18"/>
              </w:rPr>
              <w:t>trimestre</w:t>
            </w:r>
          </w:p>
        </w:tc>
        <w:tc>
          <w:tcPr>
            <w:tcW w:type="dxa" w:w="1871"/>
            <w:vAlign w:val="center"/>
          </w:tcPr>
          <w:p>
            <w:pPr>
              <w:spacing w:after="60" w:before="40" w:line="240" w:lineRule="auto"/>
            </w:pPr>
            <w:r>
              <w:rPr>
                <w:rFonts w:ascii="Arial" w:hAnsi="Arial"/>
                <w:sz w:val="18"/>
              </w:rPr>
              <w:t>tinyint</w:t>
            </w:r>
          </w:p>
        </w:tc>
        <w:tc>
          <w:tcPr>
            <w:tcW w:type="dxa" w:w="4309"/>
            <w:vAlign w:val="center"/>
          </w:tcPr>
          <w:p>
            <w:pPr>
              <w:spacing w:after="60" w:before="40" w:line="240" w:lineRule="auto"/>
            </w:pPr>
            <w:r>
              <w:rPr>
                <w:rFonts w:ascii="Arial" w:hAnsi="Arial"/>
                <w:sz w:val="18"/>
              </w:rPr>
              <w:t>Trimestre.</w:t>
            </w:r>
          </w:p>
        </w:tc>
      </w:tr>
      <w:tr>
        <w:trPr>
          <w:cantSplit/>
        </w:trPr>
        <w:tc>
          <w:tcPr>
            <w:tcW w:type="dxa" w:w="3118"/>
            <w:vAlign w:val="center"/>
          </w:tcPr>
          <w:p>
            <w:pPr>
              <w:spacing w:after="60" w:before="40" w:line="240" w:lineRule="auto"/>
            </w:pPr>
            <w:r>
              <w:rPr>
                <w:rFonts w:ascii="Arial" w:hAnsi="Arial"/>
                <w:sz w:val="18"/>
              </w:rPr>
              <w:t>mes</w:t>
            </w:r>
          </w:p>
        </w:tc>
        <w:tc>
          <w:tcPr>
            <w:tcW w:type="dxa" w:w="1871"/>
            <w:vAlign w:val="center"/>
          </w:tcPr>
          <w:p>
            <w:pPr>
              <w:spacing w:after="60" w:before="40" w:line="240" w:lineRule="auto"/>
            </w:pPr>
            <w:r>
              <w:rPr>
                <w:rFonts w:ascii="Arial" w:hAnsi="Arial"/>
                <w:sz w:val="18"/>
              </w:rPr>
              <w:t>tinyint</w:t>
            </w:r>
          </w:p>
        </w:tc>
        <w:tc>
          <w:tcPr>
            <w:tcW w:type="dxa" w:w="4309"/>
            <w:vAlign w:val="center"/>
          </w:tcPr>
          <w:p>
            <w:pPr>
              <w:spacing w:after="60" w:before="40" w:line="240" w:lineRule="auto"/>
            </w:pPr>
            <w:r>
              <w:rPr>
                <w:rFonts w:ascii="Arial" w:hAnsi="Arial"/>
                <w:sz w:val="18"/>
              </w:rPr>
              <w:t>Número de mes.</w:t>
            </w:r>
          </w:p>
        </w:tc>
      </w:tr>
      <w:tr>
        <w:trPr>
          <w:cantSplit/>
        </w:trPr>
        <w:tc>
          <w:tcPr>
            <w:tcW w:type="dxa" w:w="3118"/>
            <w:vAlign w:val="center"/>
          </w:tcPr>
          <w:p>
            <w:pPr>
              <w:spacing w:after="60" w:before="40" w:line="240" w:lineRule="auto"/>
            </w:pPr>
            <w:r>
              <w:rPr>
                <w:rFonts w:ascii="Arial" w:hAnsi="Arial"/>
                <w:sz w:val="18"/>
              </w:rPr>
              <w:t>nombre_mes</w:t>
            </w:r>
          </w:p>
        </w:tc>
        <w:tc>
          <w:tcPr>
            <w:tcW w:type="dxa" w:w="1871"/>
            <w:vAlign w:val="center"/>
          </w:tcPr>
          <w:p>
            <w:pPr>
              <w:spacing w:after="60" w:before="40" w:line="240" w:lineRule="auto"/>
            </w:pPr>
            <w:r>
              <w:rPr>
                <w:rFonts w:ascii="Arial" w:hAnsi="Arial"/>
                <w:sz w:val="18"/>
              </w:rPr>
              <w:t>nvarchar(15)</w:t>
            </w:r>
          </w:p>
        </w:tc>
        <w:tc>
          <w:tcPr>
            <w:tcW w:type="dxa" w:w="4309"/>
            <w:vAlign w:val="center"/>
          </w:tcPr>
          <w:p>
            <w:pPr>
              <w:spacing w:after="60" w:before="40" w:line="240" w:lineRule="auto"/>
            </w:pPr>
            <w:r>
              <w:rPr>
                <w:rFonts w:ascii="Arial" w:hAnsi="Arial"/>
                <w:sz w:val="18"/>
              </w:rPr>
              <w:t>Nombre del mes en español.</w:t>
            </w:r>
          </w:p>
        </w:tc>
      </w:tr>
      <w:tr>
        <w:trPr>
          <w:cantSplit/>
        </w:trPr>
        <w:tc>
          <w:tcPr>
            <w:tcW w:type="dxa" w:w="3118"/>
            <w:vAlign w:val="center"/>
          </w:tcPr>
          <w:p>
            <w:pPr>
              <w:spacing w:after="60" w:before="40" w:line="240" w:lineRule="auto"/>
            </w:pPr>
            <w:r>
              <w:rPr>
                <w:rFonts w:ascii="Arial" w:hAnsi="Arial"/>
                <w:sz w:val="18"/>
              </w:rPr>
              <w:t>dia</w:t>
            </w:r>
          </w:p>
        </w:tc>
        <w:tc>
          <w:tcPr>
            <w:tcW w:type="dxa" w:w="1871"/>
            <w:vAlign w:val="center"/>
          </w:tcPr>
          <w:p>
            <w:pPr>
              <w:spacing w:after="60" w:before="40" w:line="240" w:lineRule="auto"/>
            </w:pPr>
            <w:r>
              <w:rPr>
                <w:rFonts w:ascii="Arial" w:hAnsi="Arial"/>
                <w:sz w:val="18"/>
              </w:rPr>
              <w:t>tinyint</w:t>
            </w:r>
          </w:p>
        </w:tc>
        <w:tc>
          <w:tcPr>
            <w:tcW w:type="dxa" w:w="4309"/>
            <w:vAlign w:val="center"/>
          </w:tcPr>
          <w:p>
            <w:pPr>
              <w:spacing w:after="60" w:before="40" w:line="240" w:lineRule="auto"/>
            </w:pPr>
            <w:r>
              <w:rPr>
                <w:rFonts w:ascii="Arial" w:hAnsi="Arial"/>
                <w:sz w:val="18"/>
              </w:rPr>
              <w:t>Día del mes.</w:t>
            </w:r>
          </w:p>
        </w:tc>
      </w:tr>
      <w:tr>
        <w:trPr>
          <w:cantSplit/>
        </w:trPr>
        <w:tc>
          <w:tcPr>
            <w:tcW w:type="dxa" w:w="3118"/>
            <w:vAlign w:val="center"/>
          </w:tcPr>
          <w:p>
            <w:pPr>
              <w:spacing w:after="60" w:before="40" w:line="240" w:lineRule="auto"/>
            </w:pPr>
            <w:r>
              <w:rPr>
                <w:rFonts w:ascii="Arial" w:hAnsi="Arial"/>
                <w:sz w:val="18"/>
              </w:rPr>
              <w:t>dia_semana</w:t>
            </w:r>
          </w:p>
        </w:tc>
        <w:tc>
          <w:tcPr>
            <w:tcW w:type="dxa" w:w="1871"/>
            <w:vAlign w:val="center"/>
          </w:tcPr>
          <w:p>
            <w:pPr>
              <w:spacing w:after="60" w:before="40" w:line="240" w:lineRule="auto"/>
            </w:pPr>
            <w:r>
              <w:rPr>
                <w:rFonts w:ascii="Arial" w:hAnsi="Arial"/>
                <w:sz w:val="18"/>
              </w:rPr>
              <w:t>tinyint</w:t>
            </w:r>
          </w:p>
        </w:tc>
        <w:tc>
          <w:tcPr>
            <w:tcW w:type="dxa" w:w="4309"/>
            <w:vAlign w:val="center"/>
          </w:tcPr>
          <w:p>
            <w:pPr>
              <w:spacing w:after="60" w:before="40" w:line="240" w:lineRule="auto"/>
            </w:pPr>
            <w:r>
              <w:rPr>
                <w:rFonts w:ascii="Arial" w:hAnsi="Arial"/>
                <w:sz w:val="18"/>
              </w:rPr>
              <w:t>Lunes = 1 hasta domingo = 7.</w:t>
            </w:r>
          </w:p>
        </w:tc>
      </w:tr>
      <w:tr>
        <w:trPr>
          <w:cantSplit/>
        </w:trPr>
        <w:tc>
          <w:tcPr>
            <w:tcW w:type="dxa" w:w="3118"/>
            <w:vAlign w:val="center"/>
          </w:tcPr>
          <w:p>
            <w:pPr>
              <w:spacing w:after="60" w:before="40" w:line="240" w:lineRule="auto"/>
            </w:pPr>
            <w:r>
              <w:rPr>
                <w:rFonts w:ascii="Arial" w:hAnsi="Arial"/>
                <w:sz w:val="18"/>
              </w:rPr>
              <w:t>nombre_dia</w:t>
            </w:r>
          </w:p>
        </w:tc>
        <w:tc>
          <w:tcPr>
            <w:tcW w:type="dxa" w:w="1871"/>
            <w:vAlign w:val="center"/>
          </w:tcPr>
          <w:p>
            <w:pPr>
              <w:spacing w:after="60" w:before="40" w:line="240" w:lineRule="auto"/>
            </w:pPr>
            <w:r>
              <w:rPr>
                <w:rFonts w:ascii="Arial" w:hAnsi="Arial"/>
                <w:sz w:val="18"/>
              </w:rPr>
              <w:t>nvarchar(15)</w:t>
            </w:r>
          </w:p>
        </w:tc>
        <w:tc>
          <w:tcPr>
            <w:tcW w:type="dxa" w:w="4309"/>
            <w:vAlign w:val="center"/>
          </w:tcPr>
          <w:p>
            <w:pPr>
              <w:spacing w:after="60" w:before="40" w:line="240" w:lineRule="auto"/>
            </w:pPr>
            <w:r>
              <w:rPr>
                <w:rFonts w:ascii="Arial" w:hAnsi="Arial"/>
                <w:sz w:val="18"/>
              </w:rPr>
              <w:t>Nombre del día en español.</w:t>
            </w:r>
          </w:p>
        </w:tc>
      </w:tr>
    </w:tbl>
    <w:p>
      <w:r>
        <w:rPr>
          <w:b w:val="0"/>
        </w:rPr>
      </w:r>
    </w:p>
    <w:p>
      <w:bookmarkStart w:id="74" w:name="seccion_74"/>
      <w:pPr>
        <w:pStyle w:val="Heading3"/>
      </w:pPr>
      <w:r>
        <w:t>dim_proyecto</w:t>
      </w:r>
      <w:bookmarkEnd w:id="74"/>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18"/>
            <w:shd w:fill="E7EFF5"/>
            <w:vAlign w:val="center"/>
          </w:tcPr>
          <w:p>
            <w:pPr>
              <w:spacing w:after="60" w:before="40" w:line="240" w:lineRule="auto"/>
            </w:pPr>
            <w:r>
              <w:rPr>
                <w:rFonts w:ascii="Arial" w:hAnsi="Arial"/>
                <w:b/>
                <w:sz w:val="18"/>
              </w:rPr>
              <w:t>CAMPO</w:t>
            </w:r>
          </w:p>
        </w:tc>
        <w:tc>
          <w:tcPr>
            <w:tcW w:type="dxa" w:w="1871"/>
            <w:shd w:fill="E7EFF5"/>
            <w:vAlign w:val="center"/>
          </w:tcPr>
          <w:p>
            <w:pPr>
              <w:spacing w:after="60" w:before="40" w:line="240" w:lineRule="auto"/>
            </w:pPr>
            <w:r>
              <w:rPr>
                <w:rFonts w:ascii="Arial" w:hAnsi="Arial"/>
                <w:b/>
                <w:sz w:val="18"/>
              </w:rPr>
              <w:t>TIPO</w:t>
            </w:r>
          </w:p>
        </w:tc>
        <w:tc>
          <w:tcPr>
            <w:tcW w:type="dxa" w:w="4309"/>
            <w:shd w:fill="E7EFF5"/>
            <w:vAlign w:val="center"/>
          </w:tcPr>
          <w:p>
            <w:pPr>
              <w:spacing w:after="60" w:before="40" w:line="240" w:lineRule="auto"/>
            </w:pPr>
            <w:r>
              <w:rPr>
                <w:rFonts w:ascii="Arial" w:hAnsi="Arial"/>
                <w:b/>
                <w:sz w:val="18"/>
              </w:rPr>
              <w:t>DESCRIPCIÓN</w:t>
            </w:r>
          </w:p>
        </w:tc>
      </w:tr>
      <w:tr>
        <w:trPr>
          <w:cantSplit/>
        </w:trPr>
        <w:tc>
          <w:tcPr>
            <w:tcW w:type="dxa" w:w="3118"/>
            <w:vAlign w:val="center"/>
          </w:tcPr>
          <w:p>
            <w:pPr>
              <w:spacing w:after="60" w:before="40" w:line="240" w:lineRule="auto"/>
            </w:pPr>
            <w:r>
              <w:rPr>
                <w:rFonts w:ascii="Arial" w:hAnsi="Arial"/>
                <w:sz w:val="18"/>
              </w:rPr>
              <w:t>id_proyecto</w:t>
            </w:r>
          </w:p>
        </w:tc>
        <w:tc>
          <w:tcPr>
            <w:tcW w:type="dxa" w:w="1871"/>
            <w:vAlign w:val="center"/>
          </w:tcPr>
          <w:p>
            <w:pPr>
              <w:spacing w:after="60" w:before="40" w:line="240" w:lineRule="auto"/>
            </w:pPr>
            <w:r>
              <w:rPr>
                <w:rFonts w:ascii="Arial" w:hAnsi="Arial"/>
                <w:sz w:val="18"/>
              </w:rPr>
              <w:t>int IDENTITY</w:t>
            </w:r>
          </w:p>
        </w:tc>
        <w:tc>
          <w:tcPr>
            <w:tcW w:type="dxa" w:w="4309"/>
            <w:vAlign w:val="center"/>
          </w:tcPr>
          <w:p>
            <w:pPr>
              <w:spacing w:after="60" w:before="40" w:line="240" w:lineRule="auto"/>
            </w:pPr>
            <w:r>
              <w:rPr>
                <w:rFonts w:ascii="Arial" w:hAnsi="Arial"/>
                <w:sz w:val="18"/>
              </w:rPr>
              <w:t>PK interna; cero para asistencia sin proyecto.</w:t>
            </w:r>
          </w:p>
        </w:tc>
      </w:tr>
      <w:tr>
        <w:trPr>
          <w:cantSplit/>
        </w:trPr>
        <w:tc>
          <w:tcPr>
            <w:tcW w:type="dxa" w:w="3118"/>
            <w:vAlign w:val="center"/>
          </w:tcPr>
          <w:p>
            <w:pPr>
              <w:spacing w:after="60" w:before="40" w:line="240" w:lineRule="auto"/>
            </w:pPr>
            <w:r>
              <w:rPr>
                <w:rFonts w:ascii="Arial" w:hAnsi="Arial"/>
                <w:sz w:val="18"/>
              </w:rPr>
              <w:t>id_proyecto_origen</w:t>
            </w:r>
          </w:p>
        </w:tc>
        <w:tc>
          <w:tcPr>
            <w:tcW w:type="dxa" w:w="1871"/>
            <w:vAlign w:val="center"/>
          </w:tcPr>
          <w:p>
            <w:pPr>
              <w:spacing w:after="60" w:before="40" w:line="240" w:lineRule="auto"/>
            </w:pPr>
            <w:r>
              <w:rPr>
                <w:rFonts w:ascii="Arial" w:hAnsi="Arial"/>
                <w:sz w:val="18"/>
              </w:rPr>
              <w:t>int NULL</w:t>
            </w:r>
          </w:p>
        </w:tc>
        <w:tc>
          <w:tcPr>
            <w:tcW w:type="dxa" w:w="4309"/>
            <w:vAlign w:val="center"/>
          </w:tcPr>
          <w:p>
            <w:pPr>
              <w:spacing w:after="60" w:before="40" w:line="240" w:lineRule="auto"/>
            </w:pPr>
            <w:r>
              <w:rPr>
                <w:rFonts w:ascii="Arial" w:hAnsi="Arial"/>
                <w:sz w:val="18"/>
              </w:rPr>
              <w:t>UQ; identificador del origen, nulo en el miembro cero.</w:t>
            </w:r>
          </w:p>
        </w:tc>
      </w:tr>
      <w:tr>
        <w:trPr>
          <w:cantSplit/>
        </w:trPr>
        <w:tc>
          <w:tcPr>
            <w:tcW w:type="dxa" w:w="3118"/>
            <w:vAlign w:val="center"/>
          </w:tcPr>
          <w:p>
            <w:pPr>
              <w:spacing w:after="60" w:before="40" w:line="240" w:lineRule="auto"/>
            </w:pPr>
            <w:r>
              <w:rPr>
                <w:rFonts w:ascii="Arial" w:hAnsi="Arial"/>
                <w:sz w:val="18"/>
              </w:rPr>
              <w:t>nombre_proyecto</w:t>
            </w:r>
          </w:p>
        </w:tc>
        <w:tc>
          <w:tcPr>
            <w:tcW w:type="dxa" w:w="1871"/>
            <w:vAlign w:val="center"/>
          </w:tcPr>
          <w:p>
            <w:pPr>
              <w:spacing w:after="60" w:before="40" w:line="240" w:lineRule="auto"/>
            </w:pPr>
            <w:r>
              <w:rPr>
                <w:rFonts w:ascii="Arial" w:hAnsi="Arial"/>
                <w:sz w:val="18"/>
              </w:rPr>
              <w:t>nvarchar(150)</w:t>
            </w:r>
          </w:p>
        </w:tc>
        <w:tc>
          <w:tcPr>
            <w:tcW w:type="dxa" w:w="4309"/>
            <w:vAlign w:val="center"/>
          </w:tcPr>
          <w:p>
            <w:pPr>
              <w:spacing w:after="60" w:before="40" w:line="240" w:lineRule="auto"/>
            </w:pPr>
            <w:r>
              <w:rPr>
                <w:rFonts w:ascii="Arial" w:hAnsi="Arial"/>
                <w:sz w:val="18"/>
              </w:rPr>
              <w:t>Nombre del proyecto.</w:t>
            </w:r>
          </w:p>
        </w:tc>
      </w:tr>
      <w:tr>
        <w:trPr>
          <w:cantSplit/>
        </w:trPr>
        <w:tc>
          <w:tcPr>
            <w:tcW w:type="dxa" w:w="3118"/>
            <w:vAlign w:val="center"/>
          </w:tcPr>
          <w:p>
            <w:pPr>
              <w:spacing w:after="60" w:before="40" w:line="240" w:lineRule="auto"/>
            </w:pPr>
            <w:r>
              <w:rPr>
                <w:rFonts w:ascii="Arial" w:hAnsi="Arial"/>
                <w:sz w:val="18"/>
              </w:rPr>
              <w:t>area_departamento</w:t>
            </w:r>
          </w:p>
        </w:tc>
        <w:tc>
          <w:tcPr>
            <w:tcW w:type="dxa" w:w="1871"/>
            <w:vAlign w:val="center"/>
          </w:tcPr>
          <w:p>
            <w:pPr>
              <w:spacing w:after="60" w:before="40" w:line="240" w:lineRule="auto"/>
            </w:pPr>
            <w:r>
              <w:rPr>
                <w:rFonts w:ascii="Arial" w:hAnsi="Arial"/>
                <w:sz w:val="18"/>
              </w:rPr>
              <w:t>nvarchar(100)</w:t>
            </w:r>
          </w:p>
        </w:tc>
        <w:tc>
          <w:tcPr>
            <w:tcW w:type="dxa" w:w="4309"/>
            <w:vAlign w:val="center"/>
          </w:tcPr>
          <w:p>
            <w:pPr>
              <w:spacing w:after="60" w:before="40" w:line="240" w:lineRule="auto"/>
            </w:pPr>
            <w:r>
              <w:rPr>
                <w:rFonts w:ascii="Arial" w:hAnsi="Arial"/>
                <w:sz w:val="18"/>
              </w:rPr>
              <w:t>Área del proyecto; no área contractual del trabajador.</w:t>
            </w:r>
          </w:p>
        </w:tc>
      </w:tr>
    </w:tbl>
    <w:p>
      <w:r>
        <w:rPr>
          <w:b w:val="0"/>
        </w:rPr>
      </w:r>
    </w:p>
    <w:p>
      <w:bookmarkStart w:id="75" w:name="seccion_75"/>
      <w:pPr>
        <w:pStyle w:val="Heading3"/>
      </w:pPr>
      <w:r>
        <w:t>dim_administrador</w:t>
      </w:r>
      <w:bookmarkEnd w:id="75"/>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18"/>
            <w:shd w:fill="E7EFF5"/>
            <w:vAlign w:val="center"/>
          </w:tcPr>
          <w:p>
            <w:pPr>
              <w:spacing w:after="60" w:before="40" w:line="240" w:lineRule="auto"/>
            </w:pPr>
            <w:r>
              <w:rPr>
                <w:rFonts w:ascii="Arial" w:hAnsi="Arial"/>
                <w:b/>
                <w:sz w:val="18"/>
              </w:rPr>
              <w:t>CAMPO</w:t>
            </w:r>
          </w:p>
        </w:tc>
        <w:tc>
          <w:tcPr>
            <w:tcW w:type="dxa" w:w="1871"/>
            <w:shd w:fill="E7EFF5"/>
            <w:vAlign w:val="center"/>
          </w:tcPr>
          <w:p>
            <w:pPr>
              <w:spacing w:after="60" w:before="40" w:line="240" w:lineRule="auto"/>
            </w:pPr>
            <w:r>
              <w:rPr>
                <w:rFonts w:ascii="Arial" w:hAnsi="Arial"/>
                <w:b/>
                <w:sz w:val="18"/>
              </w:rPr>
              <w:t>TIPO</w:t>
            </w:r>
          </w:p>
        </w:tc>
        <w:tc>
          <w:tcPr>
            <w:tcW w:type="dxa" w:w="4309"/>
            <w:shd w:fill="E7EFF5"/>
            <w:vAlign w:val="center"/>
          </w:tcPr>
          <w:p>
            <w:pPr>
              <w:spacing w:after="60" w:before="40" w:line="240" w:lineRule="auto"/>
            </w:pPr>
            <w:r>
              <w:rPr>
                <w:rFonts w:ascii="Arial" w:hAnsi="Arial"/>
                <w:b/>
                <w:sz w:val="18"/>
              </w:rPr>
              <w:t>DESCRIPCIÓN</w:t>
            </w:r>
          </w:p>
        </w:tc>
      </w:tr>
      <w:tr>
        <w:trPr>
          <w:cantSplit/>
        </w:trPr>
        <w:tc>
          <w:tcPr>
            <w:tcW w:type="dxa" w:w="3118"/>
            <w:vAlign w:val="center"/>
          </w:tcPr>
          <w:p>
            <w:pPr>
              <w:spacing w:after="60" w:before="40" w:line="240" w:lineRule="auto"/>
            </w:pPr>
            <w:r>
              <w:rPr>
                <w:rFonts w:ascii="Arial" w:hAnsi="Arial"/>
                <w:sz w:val="18"/>
              </w:rPr>
              <w:t>id_administrador</w:t>
            </w:r>
          </w:p>
        </w:tc>
        <w:tc>
          <w:tcPr>
            <w:tcW w:type="dxa" w:w="1871"/>
            <w:vAlign w:val="center"/>
          </w:tcPr>
          <w:p>
            <w:pPr>
              <w:spacing w:after="60" w:before="40" w:line="240" w:lineRule="auto"/>
            </w:pPr>
            <w:r>
              <w:rPr>
                <w:rFonts w:ascii="Arial" w:hAnsi="Arial"/>
                <w:sz w:val="18"/>
              </w:rPr>
              <w:t>int IDENTITY</w:t>
            </w:r>
          </w:p>
        </w:tc>
        <w:tc>
          <w:tcPr>
            <w:tcW w:type="dxa" w:w="4309"/>
            <w:vAlign w:val="center"/>
          </w:tcPr>
          <w:p>
            <w:pPr>
              <w:spacing w:after="60" w:before="40" w:line="240" w:lineRule="auto"/>
            </w:pPr>
            <w:r>
              <w:rPr>
                <w:rFonts w:ascii="Arial" w:hAnsi="Arial"/>
                <w:sz w:val="18"/>
              </w:rPr>
              <w:t>PK interna; cero para asistencia sin administrador.</w:t>
            </w:r>
          </w:p>
        </w:tc>
      </w:tr>
      <w:tr>
        <w:trPr>
          <w:cantSplit/>
        </w:trPr>
        <w:tc>
          <w:tcPr>
            <w:tcW w:type="dxa" w:w="3118"/>
            <w:vAlign w:val="center"/>
          </w:tcPr>
          <w:p>
            <w:pPr>
              <w:spacing w:after="60" w:before="40" w:line="240" w:lineRule="auto"/>
            </w:pPr>
            <w:r>
              <w:rPr>
                <w:rFonts w:ascii="Arial" w:hAnsi="Arial"/>
                <w:sz w:val="18"/>
              </w:rPr>
              <w:t>id_administrador_origen</w:t>
            </w:r>
          </w:p>
        </w:tc>
        <w:tc>
          <w:tcPr>
            <w:tcW w:type="dxa" w:w="1871"/>
            <w:vAlign w:val="center"/>
          </w:tcPr>
          <w:p>
            <w:pPr>
              <w:spacing w:after="60" w:before="40" w:line="240" w:lineRule="auto"/>
            </w:pPr>
            <w:r>
              <w:rPr>
                <w:rFonts w:ascii="Arial" w:hAnsi="Arial"/>
                <w:sz w:val="18"/>
              </w:rPr>
              <w:t>int NULL</w:t>
            </w:r>
          </w:p>
        </w:tc>
        <w:tc>
          <w:tcPr>
            <w:tcW w:type="dxa" w:w="4309"/>
            <w:vAlign w:val="center"/>
          </w:tcPr>
          <w:p>
            <w:pPr>
              <w:spacing w:after="60" w:before="40" w:line="240" w:lineRule="auto"/>
            </w:pPr>
            <w:r>
              <w:rPr>
                <w:rFonts w:ascii="Arial" w:hAnsi="Arial"/>
                <w:sz w:val="18"/>
              </w:rPr>
              <w:t>UQ; identificador del origen.</w:t>
            </w:r>
          </w:p>
        </w:tc>
      </w:tr>
      <w:tr>
        <w:trPr>
          <w:cantSplit/>
        </w:trPr>
        <w:tc>
          <w:tcPr>
            <w:tcW w:type="dxa" w:w="3118"/>
            <w:vAlign w:val="center"/>
          </w:tcPr>
          <w:p>
            <w:pPr>
              <w:spacing w:after="60" w:before="40" w:line="240" w:lineRule="auto"/>
            </w:pPr>
            <w:r>
              <w:rPr>
                <w:rFonts w:ascii="Arial" w:hAnsi="Arial"/>
                <w:sz w:val="18"/>
              </w:rPr>
              <w:t>nombre_completo</w:t>
            </w:r>
          </w:p>
        </w:tc>
        <w:tc>
          <w:tcPr>
            <w:tcW w:type="dxa" w:w="1871"/>
            <w:vAlign w:val="center"/>
          </w:tcPr>
          <w:p>
            <w:pPr>
              <w:spacing w:after="60" w:before="40" w:line="240" w:lineRule="auto"/>
            </w:pPr>
            <w:r>
              <w:rPr>
                <w:rFonts w:ascii="Arial" w:hAnsi="Arial"/>
                <w:sz w:val="18"/>
              </w:rPr>
              <w:t>nvarchar(150)</w:t>
            </w:r>
          </w:p>
        </w:tc>
        <w:tc>
          <w:tcPr>
            <w:tcW w:type="dxa" w:w="4309"/>
            <w:vAlign w:val="center"/>
          </w:tcPr>
          <w:p>
            <w:pPr>
              <w:spacing w:after="60" w:before="40" w:line="240" w:lineRule="auto"/>
            </w:pPr>
            <w:r>
              <w:rPr>
                <w:rFonts w:ascii="Arial" w:hAnsi="Arial"/>
                <w:sz w:val="18"/>
              </w:rPr>
              <w:t>Nombre del administrador.</w:t>
            </w:r>
          </w:p>
        </w:tc>
      </w:tr>
      <w:tr>
        <w:trPr>
          <w:cantSplit/>
        </w:trPr>
        <w:tc>
          <w:tcPr>
            <w:tcW w:type="dxa" w:w="3118"/>
            <w:vAlign w:val="center"/>
          </w:tcPr>
          <w:p>
            <w:pPr>
              <w:spacing w:after="60" w:before="40" w:line="240" w:lineRule="auto"/>
            </w:pPr>
            <w:r>
              <w:rPr>
                <w:rFonts w:ascii="Arial" w:hAnsi="Arial"/>
                <w:sz w:val="18"/>
              </w:rPr>
              <w:t>codigo_administrador</w:t>
            </w:r>
          </w:p>
        </w:tc>
        <w:tc>
          <w:tcPr>
            <w:tcW w:type="dxa" w:w="1871"/>
            <w:vAlign w:val="center"/>
          </w:tcPr>
          <w:p>
            <w:pPr>
              <w:spacing w:after="60" w:before="40" w:line="240" w:lineRule="auto"/>
            </w:pPr>
            <w:r>
              <w:rPr>
                <w:rFonts w:ascii="Arial" w:hAnsi="Arial"/>
                <w:sz w:val="18"/>
              </w:rPr>
              <w:t>nvarchar(20)</w:t>
            </w:r>
          </w:p>
        </w:tc>
        <w:tc>
          <w:tcPr>
            <w:tcW w:type="dxa" w:w="4309"/>
            <w:vAlign w:val="center"/>
          </w:tcPr>
          <w:p>
            <w:pPr>
              <w:spacing w:after="60" w:before="40" w:line="240" w:lineRule="auto"/>
            </w:pPr>
            <w:r>
              <w:rPr>
                <w:rFonts w:ascii="Arial" w:hAnsi="Arial"/>
                <w:sz w:val="18"/>
              </w:rPr>
              <w:t>Código del administrador.</w:t>
            </w:r>
          </w:p>
        </w:tc>
      </w:tr>
    </w:tbl>
    <w:p>
      <w:r>
        <w:rPr>
          <w:b w:val="0"/>
        </w:rPr>
      </w:r>
    </w:p>
    <w:p>
      <w:bookmarkStart w:id="76" w:name="seccion_76"/>
      <w:pPr>
        <w:pStyle w:val="Heading3"/>
      </w:pPr>
      <w:r>
        <w:t>fac_rendimiento_kpis</w:t>
      </w:r>
      <w:bookmarkEnd w:id="76"/>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18"/>
            <w:shd w:fill="E7EFF5"/>
            <w:vAlign w:val="center"/>
          </w:tcPr>
          <w:p>
            <w:pPr>
              <w:spacing w:after="60" w:before="40" w:line="240" w:lineRule="auto"/>
            </w:pPr>
            <w:r>
              <w:rPr>
                <w:rFonts w:ascii="Arial" w:hAnsi="Arial"/>
                <w:b/>
                <w:sz w:val="18"/>
              </w:rPr>
              <w:t>CAMPO</w:t>
            </w:r>
          </w:p>
        </w:tc>
        <w:tc>
          <w:tcPr>
            <w:tcW w:type="dxa" w:w="1871"/>
            <w:shd w:fill="E7EFF5"/>
            <w:vAlign w:val="center"/>
          </w:tcPr>
          <w:p>
            <w:pPr>
              <w:spacing w:after="60" w:before="40" w:line="240" w:lineRule="auto"/>
            </w:pPr>
            <w:r>
              <w:rPr>
                <w:rFonts w:ascii="Arial" w:hAnsi="Arial"/>
                <w:b/>
                <w:sz w:val="18"/>
              </w:rPr>
              <w:t>TIPO</w:t>
            </w:r>
          </w:p>
        </w:tc>
        <w:tc>
          <w:tcPr>
            <w:tcW w:type="dxa" w:w="4309"/>
            <w:shd w:fill="E7EFF5"/>
            <w:vAlign w:val="center"/>
          </w:tcPr>
          <w:p>
            <w:pPr>
              <w:spacing w:after="60" w:before="40" w:line="240" w:lineRule="auto"/>
            </w:pPr>
            <w:r>
              <w:rPr>
                <w:rFonts w:ascii="Arial" w:hAnsi="Arial"/>
                <w:b/>
                <w:sz w:val="18"/>
              </w:rPr>
              <w:t>DESCRIPCIÓN</w:t>
            </w:r>
          </w:p>
        </w:tc>
      </w:tr>
      <w:tr>
        <w:trPr>
          <w:cantSplit/>
        </w:trPr>
        <w:tc>
          <w:tcPr>
            <w:tcW w:type="dxa" w:w="3118"/>
            <w:vAlign w:val="center"/>
          </w:tcPr>
          <w:p>
            <w:pPr>
              <w:spacing w:after="60" w:before="40" w:line="240" w:lineRule="auto"/>
            </w:pPr>
            <w:r>
              <w:rPr>
                <w:rFonts w:ascii="Arial" w:hAnsi="Arial"/>
                <w:sz w:val="18"/>
              </w:rPr>
              <w:t>id_rendimiento</w:t>
            </w:r>
          </w:p>
        </w:tc>
        <w:tc>
          <w:tcPr>
            <w:tcW w:type="dxa" w:w="1871"/>
            <w:vAlign w:val="center"/>
          </w:tcPr>
          <w:p>
            <w:pPr>
              <w:spacing w:after="60" w:before="40" w:line="240" w:lineRule="auto"/>
            </w:pPr>
            <w:r>
              <w:rPr>
                <w:rFonts w:ascii="Arial" w:hAnsi="Arial"/>
                <w:sz w:val="18"/>
              </w:rPr>
              <w:t>bigint IDENTITY</w:t>
            </w:r>
          </w:p>
        </w:tc>
        <w:tc>
          <w:tcPr>
            <w:tcW w:type="dxa" w:w="4309"/>
            <w:vAlign w:val="center"/>
          </w:tcPr>
          <w:p>
            <w:pPr>
              <w:spacing w:after="60" w:before="40" w:line="240" w:lineRule="auto"/>
            </w:pPr>
            <w:r>
              <w:rPr>
                <w:rFonts w:ascii="Arial" w:hAnsi="Arial"/>
                <w:sz w:val="18"/>
              </w:rPr>
              <w:t>PK del hecho.</w:t>
            </w:r>
          </w:p>
        </w:tc>
      </w:tr>
      <w:tr>
        <w:trPr>
          <w:cantSplit/>
        </w:trPr>
        <w:tc>
          <w:tcPr>
            <w:tcW w:type="dxa" w:w="3118"/>
            <w:vAlign w:val="center"/>
          </w:tcPr>
          <w:p>
            <w:pPr>
              <w:spacing w:after="60" w:before="40" w:line="240" w:lineRule="auto"/>
            </w:pPr>
            <w:r>
              <w:rPr>
                <w:rFonts w:ascii="Arial" w:hAnsi="Arial"/>
                <w:sz w:val="18"/>
              </w:rPr>
              <w:t>id_trabajador</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FK a dim_trabajador.</w:t>
            </w:r>
          </w:p>
        </w:tc>
      </w:tr>
      <w:tr>
        <w:trPr>
          <w:cantSplit/>
        </w:trPr>
        <w:tc>
          <w:tcPr>
            <w:tcW w:type="dxa" w:w="3118"/>
            <w:vAlign w:val="center"/>
          </w:tcPr>
          <w:p>
            <w:pPr>
              <w:spacing w:after="60" w:before="40" w:line="240" w:lineRule="auto"/>
            </w:pPr>
            <w:r>
              <w:rPr>
                <w:rFonts w:ascii="Arial" w:hAnsi="Arial"/>
                <w:sz w:val="18"/>
              </w:rPr>
              <w:t>id_tiempo</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FK a dim_tiempo.</w:t>
            </w:r>
          </w:p>
        </w:tc>
      </w:tr>
      <w:tr>
        <w:trPr>
          <w:cantSplit/>
        </w:trPr>
        <w:tc>
          <w:tcPr>
            <w:tcW w:type="dxa" w:w="3118"/>
            <w:vAlign w:val="center"/>
          </w:tcPr>
          <w:p>
            <w:pPr>
              <w:spacing w:after="60" w:before="40" w:line="240" w:lineRule="auto"/>
            </w:pPr>
            <w:r>
              <w:rPr>
                <w:rFonts w:ascii="Arial" w:hAnsi="Arial"/>
                <w:sz w:val="18"/>
              </w:rPr>
              <w:t>id_proyecto</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FK a dim_proyecto.</w:t>
            </w:r>
          </w:p>
        </w:tc>
      </w:tr>
      <w:tr>
        <w:trPr>
          <w:cantSplit/>
        </w:trPr>
        <w:tc>
          <w:tcPr>
            <w:tcW w:type="dxa" w:w="3118"/>
            <w:vAlign w:val="center"/>
          </w:tcPr>
          <w:p>
            <w:pPr>
              <w:spacing w:after="60" w:before="40" w:line="240" w:lineRule="auto"/>
            </w:pPr>
            <w:r>
              <w:rPr>
                <w:rFonts w:ascii="Arial" w:hAnsi="Arial"/>
                <w:sz w:val="18"/>
              </w:rPr>
              <w:t>id_administrador</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FK a dim_administrador.</w:t>
            </w:r>
          </w:p>
        </w:tc>
      </w:tr>
      <w:tr>
        <w:trPr>
          <w:cantSplit/>
        </w:trPr>
        <w:tc>
          <w:tcPr>
            <w:tcW w:type="dxa" w:w="3118"/>
            <w:vAlign w:val="center"/>
          </w:tcPr>
          <w:p>
            <w:pPr>
              <w:spacing w:after="60" w:before="40" w:line="240" w:lineRule="auto"/>
            </w:pPr>
            <w:r>
              <w:rPr>
                <w:rFonts w:ascii="Arial" w:hAnsi="Arial"/>
                <w:sz w:val="18"/>
              </w:rPr>
              <w:t>jornadas_esperadas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Jornadas del calendario académico.</w:t>
            </w:r>
          </w:p>
        </w:tc>
      </w:tr>
      <w:tr>
        <w:trPr>
          <w:cantSplit/>
        </w:trPr>
        <w:tc>
          <w:tcPr>
            <w:tcW w:type="dxa" w:w="3118"/>
            <w:vAlign w:val="center"/>
          </w:tcPr>
          <w:p>
            <w:pPr>
              <w:spacing w:after="60" w:before="40" w:line="240" w:lineRule="auto"/>
            </w:pPr>
            <w:r>
              <w:rPr>
                <w:rFonts w:ascii="Arial" w:hAnsi="Arial"/>
                <w:sz w:val="18"/>
              </w:rPr>
              <w:t>total_asistencias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Marcaciones válidas.</w:t>
            </w:r>
          </w:p>
        </w:tc>
      </w:tr>
      <w:tr>
        <w:trPr>
          <w:cantSplit/>
        </w:trPr>
        <w:tc>
          <w:tcPr>
            <w:tcW w:type="dxa" w:w="3118"/>
            <w:vAlign w:val="center"/>
          </w:tcPr>
          <w:p>
            <w:pPr>
              <w:spacing w:after="60" w:before="40" w:line="240" w:lineRule="auto"/>
            </w:pPr>
            <w:r>
              <w:rPr>
                <w:rFonts w:ascii="Arial" w:hAnsi="Arial"/>
                <w:sz w:val="18"/>
              </w:rPr>
              <w:t>asistencias_a_tiempo</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Entradas antes de 09:41:00.</w:t>
            </w:r>
          </w:p>
        </w:tc>
      </w:tr>
      <w:tr>
        <w:trPr>
          <w:cantSplit/>
        </w:trPr>
        <w:tc>
          <w:tcPr>
            <w:tcW w:type="dxa" w:w="3118"/>
            <w:vAlign w:val="center"/>
          </w:tcPr>
          <w:p>
            <w:pPr>
              <w:spacing w:after="60" w:before="40" w:line="240" w:lineRule="auto"/>
            </w:pPr>
            <w:r>
              <w:rPr>
                <w:rFonts w:ascii="Arial" w:hAnsi="Arial"/>
                <w:sz w:val="18"/>
              </w:rPr>
              <w:t>tardanzas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Entradas desde 09:41:00.</w:t>
            </w:r>
          </w:p>
        </w:tc>
      </w:tr>
      <w:tr>
        <w:trPr>
          <w:cantSplit/>
        </w:trPr>
        <w:tc>
          <w:tcPr>
            <w:tcW w:type="dxa" w:w="3118"/>
            <w:vAlign w:val="center"/>
          </w:tcPr>
          <w:p>
            <w:pPr>
              <w:spacing w:after="60" w:before="40" w:line="240" w:lineRule="auto"/>
            </w:pPr>
            <w:r>
              <w:rPr>
                <w:rFonts w:ascii="Arial" w:hAnsi="Arial"/>
                <w:sz w:val="18"/>
              </w:rPr>
              <w:t>minutos_tardanza</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Minutos posteriores a 09:40 para entradas tardías.</w:t>
            </w:r>
          </w:p>
        </w:tc>
      </w:tr>
      <w:tr>
        <w:trPr>
          <w:cantSplit/>
        </w:trPr>
        <w:tc>
          <w:tcPr>
            <w:tcW w:type="dxa" w:w="3118"/>
            <w:vAlign w:val="center"/>
          </w:tcPr>
          <w:p>
            <w:pPr>
              <w:spacing w:after="60" w:before="40" w:line="240" w:lineRule="auto"/>
            </w:pPr>
            <w:r>
              <w:rPr>
                <w:rFonts w:ascii="Arial" w:hAnsi="Arial"/>
                <w:sz w:val="18"/>
              </w:rPr>
              <w:t>horas_permanencia</w:t>
            </w:r>
          </w:p>
        </w:tc>
        <w:tc>
          <w:tcPr>
            <w:tcW w:type="dxa" w:w="1871"/>
            <w:vAlign w:val="center"/>
          </w:tcPr>
          <w:p>
            <w:pPr>
              <w:spacing w:after="60" w:before="40" w:line="240" w:lineRule="auto"/>
            </w:pPr>
            <w:r>
              <w:rPr>
                <w:rFonts w:ascii="Arial" w:hAnsi="Arial"/>
                <w:sz w:val="18"/>
              </w:rPr>
              <w:t>decimal(10,2)</w:t>
            </w:r>
          </w:p>
        </w:tc>
        <w:tc>
          <w:tcPr>
            <w:tcW w:type="dxa" w:w="4309"/>
            <w:vAlign w:val="center"/>
          </w:tcPr>
          <w:p>
            <w:pPr>
              <w:spacing w:after="60" w:before="40" w:line="240" w:lineRule="auto"/>
            </w:pPr>
            <w:r>
              <w:rPr>
                <w:rFonts w:ascii="Arial" w:hAnsi="Arial"/>
                <w:sz w:val="18"/>
              </w:rPr>
              <w:t>Salida menos entrada en horas, sin descontar pausas.</w:t>
            </w:r>
          </w:p>
        </w:tc>
      </w:tr>
      <w:tr>
        <w:trPr>
          <w:cantSplit/>
        </w:trPr>
        <w:tc>
          <w:tcPr>
            <w:tcW w:type="dxa" w:w="3118"/>
            <w:vAlign w:val="center"/>
          </w:tcPr>
          <w:p>
            <w:pPr>
              <w:spacing w:after="60" w:before="40" w:line="240" w:lineRule="auto"/>
            </w:pPr>
            <w:r>
              <w:rPr>
                <w:rFonts w:ascii="Arial" w:hAnsi="Arial"/>
                <w:sz w:val="18"/>
              </w:rPr>
              <w:t>salidas_pendientes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Marcaciones sin salida.</w:t>
            </w:r>
          </w:p>
        </w:tc>
      </w:tr>
      <w:tr>
        <w:trPr>
          <w:cantSplit/>
        </w:trPr>
        <w:tc>
          <w:tcPr>
            <w:tcW w:type="dxa" w:w="3118"/>
            <w:vAlign w:val="center"/>
          </w:tcPr>
          <w:p>
            <w:pPr>
              <w:spacing w:after="60" w:before="40" w:line="240" w:lineRule="auto"/>
            </w:pPr>
            <w:r>
              <w:rPr>
                <w:rFonts w:ascii="Arial" w:hAnsi="Arial"/>
                <w:sz w:val="18"/>
              </w:rPr>
              <w:t>total_tareas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Todas las tareas válidas del período de asignación.</w:t>
            </w:r>
          </w:p>
        </w:tc>
      </w:tr>
      <w:tr>
        <w:trPr>
          <w:cantSplit/>
        </w:trPr>
        <w:tc>
          <w:tcPr>
            <w:tcW w:type="dxa" w:w="3118"/>
            <w:vAlign w:val="center"/>
          </w:tcPr>
          <w:p>
            <w:pPr>
              <w:spacing w:after="60" w:before="40" w:line="240" w:lineRule="auto"/>
            </w:pPr>
            <w:r>
              <w:rPr>
                <w:rFonts w:ascii="Arial" w:hAnsi="Arial"/>
                <w:sz w:val="18"/>
              </w:rPr>
              <w:t>tareas_completadas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Completadas con o sin observaciones.</w:t>
            </w:r>
          </w:p>
        </w:tc>
      </w:tr>
      <w:tr>
        <w:trPr>
          <w:cantSplit/>
        </w:trPr>
        <w:tc>
          <w:tcPr>
            <w:tcW w:type="dxa" w:w="3118"/>
            <w:vAlign w:val="center"/>
          </w:tcPr>
          <w:p>
            <w:pPr>
              <w:spacing w:after="60" w:before="40" w:line="240" w:lineRule="auto"/>
            </w:pPr>
            <w:r>
              <w:rPr>
                <w:rFonts w:ascii="Arial" w:hAnsi="Arial"/>
                <w:sz w:val="18"/>
              </w:rPr>
              <w:t>tareas_sin_observaciones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Completadas con observación nula tras la limpieza.</w:t>
            </w:r>
          </w:p>
        </w:tc>
      </w:tr>
      <w:tr>
        <w:trPr>
          <w:cantSplit/>
        </w:trPr>
        <w:tc>
          <w:tcPr>
            <w:tcW w:type="dxa" w:w="3118"/>
            <w:vAlign w:val="center"/>
          </w:tcPr>
          <w:p>
            <w:pPr>
              <w:spacing w:after="60" w:before="40" w:line="240" w:lineRule="auto"/>
            </w:pPr>
            <w:r>
              <w:rPr>
                <w:rFonts w:ascii="Arial" w:hAnsi="Arial"/>
                <w:sz w:val="18"/>
              </w:rPr>
              <w:t>tareas_fuera_plazo</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Observación con FUERA DE PLAZO.</w:t>
            </w:r>
          </w:p>
        </w:tc>
      </w:tr>
      <w:tr>
        <w:trPr>
          <w:cantSplit/>
        </w:trPr>
        <w:tc>
          <w:tcPr>
            <w:tcW w:type="dxa" w:w="3118"/>
            <w:vAlign w:val="center"/>
          </w:tcPr>
          <w:p>
            <w:pPr>
              <w:spacing w:after="60" w:before="40" w:line="240" w:lineRule="auto"/>
            </w:pPr>
            <w:r>
              <w:rPr>
                <w:rFonts w:ascii="Arial" w:hAnsi="Arial"/>
                <w:sz w:val="18"/>
              </w:rPr>
              <w:t>tareas_con_correcciones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Observación no vacía que no contiene FUERA DE PLAZO.</w:t>
            </w:r>
          </w:p>
        </w:tc>
      </w:tr>
      <w:tr>
        <w:trPr>
          <w:cantSplit/>
        </w:trPr>
        <w:tc>
          <w:tcPr>
            <w:tcW w:type="dxa" w:w="3118"/>
            <w:vAlign w:val="center"/>
          </w:tcPr>
          <w:p>
            <w:pPr>
              <w:spacing w:after="60" w:before="40" w:line="240" w:lineRule="auto"/>
            </w:pPr>
            <w:r>
              <w:rPr>
                <w:rFonts w:ascii="Arial" w:hAnsi="Arial"/>
                <w:sz w:val="18"/>
              </w:rPr>
              <w:t>tareas_en_progreso</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Estado En Progreso.</w:t>
            </w:r>
          </w:p>
        </w:tc>
      </w:tr>
      <w:tr>
        <w:trPr>
          <w:cantSplit/>
        </w:trPr>
        <w:tc>
          <w:tcPr>
            <w:tcW w:type="dxa" w:w="3118"/>
            <w:vAlign w:val="center"/>
          </w:tcPr>
          <w:p>
            <w:pPr>
              <w:spacing w:after="60" w:before="40" w:line="240" w:lineRule="auto"/>
            </w:pPr>
            <w:r>
              <w:rPr>
                <w:rFonts w:ascii="Arial" w:hAnsi="Arial"/>
                <w:sz w:val="18"/>
              </w:rPr>
              <w:t>tareas_asignadas</w:t>
            </w:r>
          </w:p>
        </w:tc>
        <w:tc>
          <w:tcPr>
            <w:tcW w:type="dxa" w:w="1871"/>
            <w:vAlign w:val="center"/>
          </w:tcPr>
          <w:p>
            <w:pPr>
              <w:spacing w:after="60" w:before="40" w:line="240" w:lineRule="auto"/>
            </w:pPr>
            <w:r>
              <w:rPr>
                <w:rFonts w:ascii="Arial" w:hAnsi="Arial"/>
                <w:sz w:val="18"/>
              </w:rPr>
              <w:t>int</w:t>
            </w:r>
          </w:p>
        </w:tc>
        <w:tc>
          <w:tcPr>
            <w:tcW w:type="dxa" w:w="4309"/>
            <w:vAlign w:val="center"/>
          </w:tcPr>
          <w:p>
            <w:pPr>
              <w:spacing w:after="60" w:before="40" w:line="240" w:lineRule="auto"/>
            </w:pPr>
            <w:r>
              <w:rPr>
                <w:rFonts w:ascii="Arial" w:hAnsi="Arial"/>
                <w:sz w:val="18"/>
              </w:rPr>
              <w:t>Estado Asignada; no equivale a total_tareas.</w:t>
            </w:r>
          </w:p>
        </w:tc>
      </w:tr>
      <w:tr>
        <w:trPr>
          <w:cantSplit/>
        </w:trPr>
        <w:tc>
          <w:tcPr>
            <w:tcW w:type="dxa" w:w="3118"/>
            <w:vAlign w:val="center"/>
          </w:tcPr>
          <w:p>
            <w:pPr>
              <w:spacing w:after="60" w:before="40" w:line="240" w:lineRule="auto"/>
            </w:pPr>
            <w:r>
              <w:rPr>
                <w:rFonts w:ascii="Arial" w:hAnsi="Arial"/>
                <w:sz w:val="18"/>
              </w:rPr>
              <w:t>id_carga</w:t>
            </w:r>
          </w:p>
        </w:tc>
        <w:tc>
          <w:tcPr>
            <w:tcW w:type="dxa" w:w="1871"/>
            <w:vAlign w:val="center"/>
          </w:tcPr>
          <w:p>
            <w:pPr>
              <w:spacing w:after="60" w:before="40" w:line="240" w:lineRule="auto"/>
            </w:pPr>
            <w:r>
              <w:rPr>
                <w:rFonts w:ascii="Arial" w:hAnsi="Arial"/>
                <w:sz w:val="18"/>
              </w:rPr>
              <w:t>bigint</w:t>
            </w:r>
          </w:p>
        </w:tc>
        <w:tc>
          <w:tcPr>
            <w:tcW w:type="dxa" w:w="4309"/>
            <w:vAlign w:val="center"/>
          </w:tcPr>
          <w:p>
            <w:pPr>
              <w:spacing w:after="60" w:before="40" w:line="240" w:lineRule="auto"/>
            </w:pPr>
            <w:r>
              <w:rPr>
                <w:rFonts w:ascii="Arial" w:hAnsi="Arial"/>
                <w:sz w:val="18"/>
              </w:rPr>
              <w:t>FK a bitacora_etl.</w:t>
            </w:r>
          </w:p>
        </w:tc>
      </w:tr>
    </w:tbl>
    <w:p>
      <w:r>
        <w:rPr>
          <w:b w:val="0"/>
        </w:rPr>
      </w:r>
    </w:p>
    <w:p>
      <w:bookmarkStart w:id="77" w:name="seccion_77"/>
      <w:pPr>
        <w:pStyle w:val="Heading3"/>
      </w:pPr>
      <w:r>
        <w:t>bitacora_etl / rechazos_etl</w:t>
      </w:r>
      <w:bookmarkEnd w:id="77"/>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18"/>
            <w:shd w:fill="E7EFF5"/>
            <w:vAlign w:val="center"/>
          </w:tcPr>
          <w:p>
            <w:pPr>
              <w:spacing w:after="60" w:before="40" w:line="240" w:lineRule="auto"/>
            </w:pPr>
            <w:r>
              <w:rPr>
                <w:rFonts w:ascii="Arial" w:hAnsi="Arial"/>
                <w:b/>
                <w:sz w:val="18"/>
              </w:rPr>
              <w:t>CAMPO</w:t>
            </w:r>
          </w:p>
        </w:tc>
        <w:tc>
          <w:tcPr>
            <w:tcW w:type="dxa" w:w="1871"/>
            <w:shd w:fill="E7EFF5"/>
            <w:vAlign w:val="center"/>
          </w:tcPr>
          <w:p>
            <w:pPr>
              <w:spacing w:after="60" w:before="40" w:line="240" w:lineRule="auto"/>
            </w:pPr>
            <w:r>
              <w:rPr>
                <w:rFonts w:ascii="Arial" w:hAnsi="Arial"/>
                <w:b/>
                <w:sz w:val="18"/>
              </w:rPr>
              <w:t>TIPO</w:t>
            </w:r>
          </w:p>
        </w:tc>
        <w:tc>
          <w:tcPr>
            <w:tcW w:type="dxa" w:w="4309"/>
            <w:shd w:fill="E7EFF5"/>
            <w:vAlign w:val="center"/>
          </w:tcPr>
          <w:p>
            <w:pPr>
              <w:spacing w:after="60" w:before="40" w:line="240" w:lineRule="auto"/>
            </w:pPr>
            <w:r>
              <w:rPr>
                <w:rFonts w:ascii="Arial" w:hAnsi="Arial"/>
                <w:b/>
                <w:sz w:val="18"/>
              </w:rPr>
              <w:t>DESCRIPCIÓN</w:t>
            </w:r>
          </w:p>
        </w:tc>
      </w:tr>
      <w:tr>
        <w:trPr>
          <w:cantSplit/>
        </w:trPr>
        <w:tc>
          <w:tcPr>
            <w:tcW w:type="dxa" w:w="3118"/>
            <w:vAlign w:val="center"/>
          </w:tcPr>
          <w:p>
            <w:pPr>
              <w:spacing w:after="60" w:before="40" w:line="240" w:lineRule="auto"/>
            </w:pPr>
            <w:r>
              <w:rPr>
                <w:rFonts w:ascii="Arial" w:hAnsi="Arial"/>
                <w:sz w:val="18"/>
              </w:rPr>
              <w:t>bitacora_etl</w:t>
            </w:r>
          </w:p>
        </w:tc>
        <w:tc>
          <w:tcPr>
            <w:tcW w:type="dxa" w:w="1871"/>
            <w:vAlign w:val="center"/>
          </w:tcPr>
          <w:p>
            <w:pPr>
              <w:spacing w:after="60" w:before="40" w:line="240" w:lineRule="auto"/>
            </w:pPr>
            <w:r>
              <w:rPr>
                <w:rFonts w:ascii="Arial" w:hAnsi="Arial"/>
                <w:sz w:val="18"/>
              </w:rPr>
              <w:t>Tabla de control</w:t>
            </w:r>
          </w:p>
        </w:tc>
        <w:tc>
          <w:tcPr>
            <w:tcW w:type="dxa" w:w="4309"/>
            <w:vAlign w:val="center"/>
          </w:tcPr>
          <w:p>
            <w:pPr>
              <w:spacing w:after="60" w:before="40" w:line="240" w:lineRule="auto"/>
            </w:pPr>
            <w:r>
              <w:rPr>
                <w:rFonts w:ascii="Arial" w:hAnsi="Arial"/>
                <w:sz w:val="18"/>
              </w:rPr>
              <w:t>ID de carga, intervalo, inicio, fin, estado, cantidades y mensaje.</w:t>
            </w:r>
          </w:p>
        </w:tc>
      </w:tr>
      <w:tr>
        <w:trPr>
          <w:cantSplit/>
        </w:trPr>
        <w:tc>
          <w:tcPr>
            <w:tcW w:type="dxa" w:w="3118"/>
            <w:vAlign w:val="center"/>
          </w:tcPr>
          <w:p>
            <w:pPr>
              <w:spacing w:after="60" w:before="40" w:line="240" w:lineRule="auto"/>
            </w:pPr>
            <w:r>
              <w:rPr>
                <w:rFonts w:ascii="Arial" w:hAnsi="Arial"/>
                <w:sz w:val="18"/>
              </w:rPr>
              <w:t>rechazos_etl</w:t>
            </w:r>
          </w:p>
        </w:tc>
        <w:tc>
          <w:tcPr>
            <w:tcW w:type="dxa" w:w="1871"/>
            <w:vAlign w:val="center"/>
          </w:tcPr>
          <w:p>
            <w:pPr>
              <w:spacing w:after="60" w:before="40" w:line="240" w:lineRule="auto"/>
            </w:pPr>
            <w:r>
              <w:rPr>
                <w:rFonts w:ascii="Arial" w:hAnsi="Arial"/>
                <w:sz w:val="18"/>
              </w:rPr>
              <w:t>Tabla de control</w:t>
            </w:r>
          </w:p>
        </w:tc>
        <w:tc>
          <w:tcPr>
            <w:tcW w:type="dxa" w:w="4309"/>
            <w:vAlign w:val="center"/>
          </w:tcPr>
          <w:p>
            <w:pPr>
              <w:spacing w:after="60" w:before="40" w:line="240" w:lineRule="auto"/>
            </w:pPr>
            <w:r>
              <w:rPr>
                <w:rFonts w:ascii="Arial" w:hAnsi="Arial"/>
                <w:sz w:val="18"/>
              </w:rPr>
              <w:t>ID de rechazo, carga, tabla, registro del origen y motivo.</w:t>
            </w:r>
          </w:p>
        </w:tc>
      </w:tr>
    </w:tbl>
    <w:p>
      <w:r>
        <w:rPr>
          <w:b w:val="0"/>
        </w:rPr>
      </w:r>
    </w:p>
    <w:p>
      <w:r>
        <w:rPr>
          <w:b w:val="0"/>
        </w:rPr>
        <w:t>La restricción UQ_rendimiento_grano aplica a id_trabajador, id_tiempo, id_proyecto e id_administrador. Las medidas de conteo tienen valor predeterminado cero. Los porcentajes se calculan al consultar y no figuran como columnas físicas de hechos.</w:t>
      </w:r>
    </w:p>
    <w:p>
      <w:r>
        <w:rPr>
          <w:b w:val="0"/>
        </w:rPr>
      </w:r>
      <w:hyperlink r:id="rId16">
        <w:r>
          <w:rPr>
            <w:color w:val="0563C1"/>
            <w:u w:val="single"/>
          </w:rPr>
          <w:t>DDL que respalda el diccionario</w:t>
        </w:r>
      </w:hyperlink>
    </w:p>
    <w:p>
      <w:bookmarkStart w:id="78" w:name="seccion_78"/>
      <w:pPr>
        <w:pStyle w:val="Heading2"/>
      </w:pPr>
      <w:r>
        <w:t>Anexo C. Ficha del conjunto de datos</w:t>
      </w:r>
      <w:bookmarkEnd w:id="78"/>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268"/>
            <w:shd w:fill="E7EFF5"/>
            <w:vAlign w:val="center"/>
          </w:tcPr>
          <w:p>
            <w:pPr>
              <w:spacing w:after="60" w:before="40" w:line="240" w:lineRule="auto"/>
            </w:pPr>
            <w:r>
              <w:rPr>
                <w:rFonts w:ascii="Arial" w:hAnsi="Arial"/>
                <w:b/>
                <w:sz w:val="18"/>
              </w:rPr>
              <w:t>ATRIBUTO</w:t>
            </w:r>
          </w:p>
        </w:tc>
        <w:tc>
          <w:tcPr>
            <w:tcW w:type="dxa" w:w="7030"/>
            <w:shd w:fill="E7EFF5"/>
            <w:vAlign w:val="center"/>
          </w:tcPr>
          <w:p>
            <w:pPr>
              <w:spacing w:after="60" w:before="40" w:line="240" w:lineRule="auto"/>
            </w:pPr>
            <w:r>
              <w:rPr>
                <w:rFonts w:ascii="Arial" w:hAnsi="Arial"/>
                <w:b/>
                <w:sz w:val="18"/>
              </w:rPr>
              <w:t>DESCRIPCIÓN</w:t>
            </w:r>
          </w:p>
        </w:tc>
      </w:tr>
      <w:tr>
        <w:trPr>
          <w:cantSplit/>
        </w:trPr>
        <w:tc>
          <w:tcPr>
            <w:tcW w:type="dxa" w:w="2268"/>
            <w:vAlign w:val="center"/>
          </w:tcPr>
          <w:p>
            <w:pPr>
              <w:spacing w:after="60" w:before="40" w:line="240" w:lineRule="auto"/>
            </w:pPr>
            <w:r>
              <w:rPr>
                <w:rFonts w:ascii="Arial" w:hAnsi="Arial"/>
                <w:sz w:val="18"/>
              </w:rPr>
              <w:t>Origen de referencia</w:t>
            </w:r>
          </w:p>
        </w:tc>
        <w:tc>
          <w:tcPr>
            <w:tcW w:type="dxa" w:w="7030"/>
            <w:vAlign w:val="center"/>
          </w:tcPr>
          <w:p>
            <w:pPr>
              <w:spacing w:after="60" w:before="40" w:line="240" w:lineRule="auto"/>
            </w:pPr>
            <w:r>
              <w:rPr>
                <w:rFonts w:ascii="Arial" w:hAnsi="Arial"/>
                <w:sz w:val="18"/>
              </w:rPr>
              <w:t>Esquema y padrón del archivo MySQL proporcionado.</w:t>
            </w:r>
          </w:p>
        </w:tc>
      </w:tr>
      <w:tr>
        <w:trPr>
          <w:cantSplit/>
        </w:trPr>
        <w:tc>
          <w:tcPr>
            <w:tcW w:type="dxa" w:w="2268"/>
            <w:vAlign w:val="center"/>
          </w:tcPr>
          <w:p>
            <w:pPr>
              <w:spacing w:after="60" w:before="40" w:line="240" w:lineRule="auto"/>
            </w:pPr>
            <w:r>
              <w:rPr>
                <w:rFonts w:ascii="Arial" w:hAnsi="Arial"/>
                <w:sz w:val="18"/>
              </w:rPr>
              <w:t>Generación</w:t>
            </w:r>
          </w:p>
        </w:tc>
        <w:tc>
          <w:tcPr>
            <w:tcW w:type="dxa" w:w="7030"/>
            <w:vAlign w:val="center"/>
          </w:tcPr>
          <w:p>
            <w:pPr>
              <w:spacing w:after="60" w:before="40" w:line="240" w:lineRule="auto"/>
            </w:pPr>
            <w:r>
              <w:rPr>
                <w:rFonts w:ascii="Arial" w:hAnsi="Arial"/>
                <w:sz w:val="18"/>
              </w:rPr>
              <w:t>T-SQL con CTE de fechas, WHILE y variaciones deterministas por trabajador y fecha.</w:t>
            </w:r>
          </w:p>
        </w:tc>
      </w:tr>
      <w:tr>
        <w:trPr>
          <w:cantSplit/>
        </w:trPr>
        <w:tc>
          <w:tcPr>
            <w:tcW w:type="dxa" w:w="2268"/>
            <w:vAlign w:val="center"/>
          </w:tcPr>
          <w:p>
            <w:pPr>
              <w:spacing w:after="60" w:before="40" w:line="240" w:lineRule="auto"/>
            </w:pPr>
            <w:r>
              <w:rPr>
                <w:rFonts w:ascii="Arial" w:hAnsi="Arial"/>
                <w:sz w:val="18"/>
              </w:rPr>
              <w:t>Período</w:t>
            </w:r>
          </w:p>
        </w:tc>
        <w:tc>
          <w:tcPr>
            <w:tcW w:type="dxa" w:w="7030"/>
            <w:vAlign w:val="center"/>
          </w:tcPr>
          <w:p>
            <w:pPr>
              <w:spacing w:after="60" w:before="40" w:line="240" w:lineRule="auto"/>
            </w:pPr>
            <w:r>
              <w:rPr>
                <w:rFonts w:ascii="Arial" w:hAnsi="Arial"/>
                <w:sz w:val="18"/>
              </w:rPr>
              <w:t>01/07/2026–30/09/2026.</w:t>
            </w:r>
          </w:p>
        </w:tc>
      </w:tr>
      <w:tr>
        <w:trPr>
          <w:cantSplit/>
        </w:trPr>
        <w:tc>
          <w:tcPr>
            <w:tcW w:type="dxa" w:w="2268"/>
            <w:vAlign w:val="center"/>
          </w:tcPr>
          <w:p>
            <w:pPr>
              <w:spacing w:after="60" w:before="40" w:line="240" w:lineRule="auto"/>
            </w:pPr>
            <w:r>
              <w:rPr>
                <w:rFonts w:ascii="Arial" w:hAnsi="Arial"/>
                <w:sz w:val="18"/>
              </w:rPr>
              <w:t>Personas</w:t>
            </w:r>
          </w:p>
        </w:tc>
        <w:tc>
          <w:tcPr>
            <w:tcW w:type="dxa" w:w="7030"/>
            <w:vAlign w:val="center"/>
          </w:tcPr>
          <w:p>
            <w:pPr>
              <w:spacing w:after="60" w:before="40" w:line="240" w:lineRule="auto"/>
            </w:pPr>
            <w:r>
              <w:rPr>
                <w:rFonts w:ascii="Arial" w:hAnsi="Arial"/>
                <w:sz w:val="18"/>
              </w:rPr>
              <w:t>Diez trabajadores y un administrador independiente.</w:t>
            </w:r>
          </w:p>
        </w:tc>
      </w:tr>
      <w:tr>
        <w:trPr>
          <w:cantSplit/>
        </w:trPr>
        <w:tc>
          <w:tcPr>
            <w:tcW w:type="dxa" w:w="2268"/>
            <w:vAlign w:val="center"/>
          </w:tcPr>
          <w:p>
            <w:pPr>
              <w:spacing w:after="60" w:before="40" w:line="240" w:lineRule="auto"/>
            </w:pPr>
            <w:r>
              <w:rPr>
                <w:rFonts w:ascii="Arial" w:hAnsi="Arial"/>
                <w:sz w:val="18"/>
              </w:rPr>
              <w:t>Jornadas</w:t>
            </w:r>
          </w:p>
        </w:tc>
        <w:tc>
          <w:tcPr>
            <w:tcW w:type="dxa" w:w="7030"/>
            <w:vAlign w:val="center"/>
          </w:tcPr>
          <w:p>
            <w:pPr>
              <w:spacing w:after="60" w:before="40" w:line="240" w:lineRule="auto"/>
            </w:pPr>
            <w:r>
              <w:rPr>
                <w:rFonts w:ascii="Arial" w:hAnsi="Arial"/>
                <w:sz w:val="18"/>
              </w:rPr>
              <w:t>Siete regulares × 66 jornadas y tres practicantes × 40 jornadas = 582.</w:t>
            </w:r>
          </w:p>
        </w:tc>
      </w:tr>
      <w:tr>
        <w:trPr>
          <w:cantSplit/>
        </w:trPr>
        <w:tc>
          <w:tcPr>
            <w:tcW w:type="dxa" w:w="2268"/>
            <w:vAlign w:val="center"/>
          </w:tcPr>
          <w:p>
            <w:pPr>
              <w:spacing w:after="60" w:before="40" w:line="240" w:lineRule="auto"/>
            </w:pPr>
            <w:r>
              <w:rPr>
                <w:rFonts w:ascii="Arial" w:hAnsi="Arial"/>
                <w:sz w:val="18"/>
              </w:rPr>
              <w:t>Movimientos</w:t>
            </w:r>
          </w:p>
        </w:tc>
        <w:tc>
          <w:tcPr>
            <w:tcW w:type="dxa" w:w="7030"/>
            <w:vAlign w:val="center"/>
          </w:tcPr>
          <w:p>
            <w:pPr>
              <w:spacing w:after="60" w:before="40" w:line="240" w:lineRule="auto"/>
            </w:pPr>
            <w:r>
              <w:rPr>
                <w:rFonts w:ascii="Arial" w:hAnsi="Arial"/>
                <w:sz w:val="18"/>
              </w:rPr>
              <w:t>Una asistencia y una tarea por jornada; 582 registros de cada tipo.</w:t>
            </w:r>
          </w:p>
        </w:tc>
      </w:tr>
      <w:tr>
        <w:trPr>
          <w:cantSplit/>
        </w:trPr>
        <w:tc>
          <w:tcPr>
            <w:tcW w:type="dxa" w:w="2268"/>
            <w:vAlign w:val="center"/>
          </w:tcPr>
          <w:p>
            <w:pPr>
              <w:spacing w:after="60" w:before="40" w:line="240" w:lineRule="auto"/>
            </w:pPr>
            <w:r>
              <w:rPr>
                <w:rFonts w:ascii="Arial" w:hAnsi="Arial"/>
                <w:sz w:val="18"/>
              </w:rPr>
              <w:t>Proyectos académicos</w:t>
            </w:r>
          </w:p>
        </w:tc>
        <w:tc>
          <w:tcPr>
            <w:tcW w:type="dxa" w:w="7030"/>
            <w:vAlign w:val="center"/>
          </w:tcPr>
          <w:p>
            <w:pPr>
              <w:spacing w:after="60" w:before="40" w:line="240" w:lineRule="auto"/>
            </w:pPr>
            <w:r>
              <w:rPr>
                <w:rFonts w:ascii="Arial" w:hAnsi="Arial"/>
                <w:sz w:val="18"/>
              </w:rPr>
              <w:t>Tres proyectos del generador; no se afirma que reproduzcan todos los proyectos reales.</w:t>
            </w:r>
          </w:p>
        </w:tc>
      </w:tr>
      <w:tr>
        <w:trPr>
          <w:cantSplit/>
        </w:trPr>
        <w:tc>
          <w:tcPr>
            <w:tcW w:type="dxa" w:w="2268"/>
            <w:vAlign w:val="center"/>
          </w:tcPr>
          <w:p>
            <w:pPr>
              <w:spacing w:after="60" w:before="40" w:line="240" w:lineRule="auto"/>
            </w:pPr>
            <w:r>
              <w:rPr>
                <w:rFonts w:ascii="Arial" w:hAnsi="Arial"/>
                <w:sz w:val="18"/>
              </w:rPr>
              <w:t>Destino</w:t>
            </w:r>
          </w:p>
        </w:tc>
        <w:tc>
          <w:tcPr>
            <w:tcW w:type="dxa" w:w="7030"/>
            <w:vAlign w:val="center"/>
          </w:tcPr>
          <w:p>
            <w:pPr>
              <w:spacing w:after="60" w:before="40" w:line="240" w:lineRule="auto"/>
            </w:pPr>
            <w:r>
              <w:rPr>
                <w:rFonts w:ascii="Arial" w:hAnsi="Arial"/>
                <w:sz w:val="18"/>
              </w:rPr>
              <w:t>1.164 filas de hechos, 30 resúmenes trabajador-mes y 92 fechas del trimestre.</w:t>
            </w:r>
          </w:p>
        </w:tc>
      </w:tr>
      <w:tr>
        <w:trPr>
          <w:cantSplit/>
        </w:trPr>
        <w:tc>
          <w:tcPr>
            <w:tcW w:type="dxa" w:w="2268"/>
            <w:vAlign w:val="center"/>
          </w:tcPr>
          <w:p>
            <w:pPr>
              <w:spacing w:after="60" w:before="40" w:line="240" w:lineRule="auto"/>
            </w:pPr>
            <w:r>
              <w:rPr>
                <w:rFonts w:ascii="Arial" w:hAnsi="Arial"/>
                <w:sz w:val="18"/>
              </w:rPr>
              <w:t>Privacidad</w:t>
            </w:r>
          </w:p>
        </w:tc>
        <w:tc>
          <w:tcPr>
            <w:tcW w:type="dxa" w:w="7030"/>
            <w:vAlign w:val="center"/>
          </w:tcPr>
          <w:p>
            <w:pPr>
              <w:spacing w:after="60" w:before="40" w:line="240" w:lineRule="auto"/>
            </w:pPr>
            <w:r>
              <w:rPr>
                <w:rFonts w:ascii="Arial" w:hAnsi="Arial"/>
                <w:sz w:val="18"/>
              </w:rPr>
              <w:t>Nombres visibles; sin contactos ni PIN reales incorporados por el generador.</w:t>
            </w:r>
          </w:p>
        </w:tc>
      </w:tr>
      <w:tr>
        <w:trPr>
          <w:cantSplit/>
        </w:trPr>
        <w:tc>
          <w:tcPr>
            <w:tcW w:type="dxa" w:w="2268"/>
            <w:vAlign w:val="center"/>
          </w:tcPr>
          <w:p>
            <w:pPr>
              <w:spacing w:after="60" w:before="40" w:line="240" w:lineRule="auto"/>
            </w:pPr>
            <w:r>
              <w:rPr>
                <w:rFonts w:ascii="Arial" w:hAnsi="Arial"/>
                <w:sz w:val="18"/>
              </w:rPr>
              <w:t>Uso</w:t>
            </w:r>
          </w:p>
        </w:tc>
        <w:tc>
          <w:tcPr>
            <w:tcW w:type="dxa" w:w="7030"/>
            <w:vAlign w:val="center"/>
          </w:tcPr>
          <w:p>
            <w:pPr>
              <w:spacing w:after="60" w:before="40" w:line="240" w:lineRule="auto"/>
            </w:pPr>
            <w:r>
              <w:rPr>
                <w:rFonts w:ascii="Arial" w:hAnsi="Arial"/>
                <w:sz w:val="18"/>
              </w:rPr>
              <w:t>Validación funcional y ejemplo de indicadores, no evaluación laboral real.</w:t>
            </w:r>
          </w:p>
        </w:tc>
      </w:tr>
    </w:tbl>
    <w:p>
      <w:r>
        <w:rPr>
          <w:b w:val="0"/>
        </w:rPr>
      </w:r>
    </w:p>
    <w:p>
      <w:bookmarkStart w:id="79" w:name="seccion_79"/>
      <w:pPr>
        <w:pStyle w:val="Heading2"/>
      </w:pPr>
      <w:r>
        <w:t>Anexo D. Scripts y medidas de la entrega</w:t>
      </w:r>
      <w:bookmarkEnd w:id="79"/>
    </w:p>
    <w:p>
      <w:r>
        <w:rPr>
          <w:b w:val="0"/>
        </w:rPr>
      </w:r>
      <w:hyperlink r:id="rId30">
        <w:r>
          <w:rPr>
            <w:color w:val="0563C1"/>
            <w:u w:val="single"/>
          </w:rPr>
          <w:t>01_Base_Datos/01_Estructura_y_Datos.sql</w:t>
        </w:r>
      </w:hyperlink>
    </w:p>
    <w:p>
      <w:r>
        <w:rPr>
          <w:b w:val="0"/>
        </w:rPr>
      </w:r>
      <w:hyperlink r:id="rId16">
        <w:r>
          <w:rPr>
            <w:color w:val="0563C1"/>
            <w:u w:val="single"/>
          </w:rPr>
          <w:t>01_Base_Datos/02_Creacion_Data_Mart.sql</w:t>
        </w:r>
      </w:hyperlink>
    </w:p>
    <w:p>
      <w:r>
        <w:rPr>
          <w:b w:val="0"/>
        </w:rPr>
      </w:r>
      <w:hyperlink r:id="rId17">
        <w:r>
          <w:rPr>
            <w:color w:val="0563C1"/>
            <w:u w:val="single"/>
          </w:rPr>
          <w:t>02_Procedimientos_Almacenados/02_Procedimiento_ETL.sql</w:t>
        </w:r>
      </w:hyperlink>
    </w:p>
    <w:p>
      <w:r>
        <w:rPr>
          <w:b w:val="0"/>
        </w:rPr>
      </w:r>
      <w:hyperlink r:id="rId18">
        <w:r>
          <w:rPr>
            <w:color w:val="0563C1"/>
            <w:u w:val="single"/>
          </w:rPr>
          <w:t>02_Procedimientos_Almacenados/03_Vistas_PowerBI.sql</w:t>
        </w:r>
      </w:hyperlink>
    </w:p>
    <w:p>
      <w:r>
        <w:rPr>
          <w:b w:val="0"/>
        </w:rPr>
      </w:r>
      <w:hyperlink r:id="rId34">
        <w:r>
          <w:rPr>
            <w:color w:val="0563C1"/>
            <w:u w:val="single"/>
          </w:rPr>
          <w:t>04_Documentacion/01_Validacion_ETL.sql</w:t>
        </w:r>
      </w:hyperlink>
    </w:p>
    <w:p>
      <w:r>
        <w:rPr>
          <w:b w:val="0"/>
        </w:rPr>
      </w:r>
      <w:hyperlink r:id="rId39">
        <w:r>
          <w:rPr>
            <w:color w:val="0563C1"/>
            <w:u w:val="single"/>
          </w:rPr>
          <w:t>04_Documentacion/06_Consultas_Evidencia.sql</w:t>
        </w:r>
      </w:hyperlink>
    </w:p>
    <w:p>
      <w:r>
        <w:rPr>
          <w:b w:val="0"/>
        </w:rPr>
      </w:r>
      <w:hyperlink r:id="rId19">
        <w:r>
          <w:rPr>
            <w:color w:val="0563C1"/>
            <w:u w:val="single"/>
          </w:rPr>
          <w:t>04_Documentacion/Medidas_PowerBI.dax</w:t>
        </w:r>
      </w:hyperlink>
    </w:p>
    <w:p>
      <w:r>
        <w:rPr>
          <w:b w:val="0"/>
        </w:rPr>
      </w:r>
      <w:hyperlink r:id="rId40">
        <w:r>
          <w:rPr>
            <w:color w:val="0563C1"/>
            <w:u w:val="single"/>
          </w:rPr>
          <w:t>04_Documentacion/Remuneracion_Referencial.dax</w:t>
        </w:r>
      </w:hyperlink>
    </w:p>
    <w:p>
      <w:bookmarkStart w:id="80" w:name="seccion_80"/>
      <w:pPr>
        <w:pStyle w:val="Heading2"/>
      </w:pPr>
      <w:r>
        <w:t>Anexo E. Capturas y resultados</w:t>
      </w:r>
      <w:bookmarkEnd w:id="80"/>
    </w:p>
    <w:p>
      <w:r>
        <w:rPr>
          <w:b w:val="0"/>
        </w:rPr>
      </w:r>
      <w:hyperlink r:id="rId32">
        <w:r>
          <w:rPr>
            <w:color w:val="0563C1"/>
            <w:u w:val="single"/>
          </w:rPr>
          <w:t>04_Documentacion/Evidencias/03_Modelo_Estrella_SSMS.png</w:t>
        </w:r>
      </w:hyperlink>
    </w:p>
    <w:p>
      <w:r>
        <w:rPr>
          <w:b w:val="0"/>
        </w:rPr>
      </w:r>
      <w:hyperlink r:id="rId37">
        <w:r>
          <w:rPr>
            <w:color w:val="0563C1"/>
            <w:u w:val="single"/>
          </w:rPr>
          <w:t>03_Vistas_PowerBI/06_Modelo_PowerBI.png</w:t>
        </w:r>
      </w:hyperlink>
    </w:p>
    <w:p>
      <w:r>
        <w:rPr>
          <w:b w:val="0"/>
        </w:rPr>
      </w:r>
      <w:hyperlink r:id="rId35">
        <w:r>
          <w:rPr>
            <w:color w:val="0563C1"/>
            <w:u w:val="single"/>
          </w:rPr>
          <w:t>04_Documentacion/Evidencias/05_Conciliacion_Idempotencia.png</w:t>
        </w:r>
      </w:hyperlink>
    </w:p>
    <w:p>
      <w:r>
        <w:rPr>
          <w:b w:val="0"/>
        </w:rPr>
      </w:r>
      <w:hyperlink r:id="rId33">
        <w:r>
          <w:rPr>
            <w:color w:val="0563C1"/>
            <w:u w:val="single"/>
          </w:rPr>
          <w:t>04_Documentacion/Evidencias/07_Rendimiento_Personal.png</w:t>
        </w:r>
      </w:hyperlink>
    </w:p>
    <w:p>
      <w:r>
        <w:rPr>
          <w:b w:val="0"/>
        </w:rPr>
      </w:r>
      <w:hyperlink r:id="rId29">
        <w:r>
          <w:rPr>
            <w:color w:val="0563C1"/>
            <w:u w:val="single"/>
          </w:rPr>
          <w:t>04_Documentacion/Evidencias/03_Resultados_Padron_Origen.txt</w:t>
        </w:r>
      </w:hyperlink>
    </w:p>
    <w:p>
      <w:bookmarkStart w:id="81" w:name="seccion_81"/>
      <w:pPr>
        <w:pStyle w:val="Heading2"/>
      </w:pPr>
      <w:r>
        <w:t>Anexo F. Instalación, operación y demostración</w:t>
      </w:r>
      <w:bookmarkEnd w:id="81"/>
    </w:p>
    <w:p>
      <w:r>
        <w:rPr>
          <w:b w:val="0"/>
        </w:rPr>
        <w:t>La presentación tiene cinco minutos de PPT y un máximo de diez minutos de demostración. La instalación debe estar preparada. La demostración muestra el origen, el procedimiento, la validación y los filtros del reporte; no requiere reconstruir todo el dashboard desde cero.</w:t>
      </w:r>
    </w:p>
    <w:p>
      <w:r>
        <w:rPr>
          <w:b w:val="0"/>
        </w:rPr>
      </w:r>
      <w:hyperlink r:id="rId31">
        <w:r>
          <w:rPr>
            <w:color w:val="0563C1"/>
            <w:u w:val="single"/>
          </w:rPr>
          <w:t>04_Documentacion/00_Orden_Ejecucion.md</w:t>
        </w:r>
      </w:hyperlink>
    </w:p>
    <w:p>
      <w:r>
        <w:rPr>
          <w:b w:val="0"/>
        </w:rPr>
      </w:r>
      <w:hyperlink r:id="rId41">
        <w:r>
          <w:rPr>
            <w:color w:val="0563C1"/>
            <w:u w:val="single"/>
          </w:rPr>
          <w:t>04_Documentacion/03_Guia_PowerBI.md</w:t>
        </w:r>
      </w:hyperlink>
    </w:p>
    <w:p>
      <w:r>
        <w:rPr>
          <w:b w:val="0"/>
        </w:rPr>
      </w:r>
      <w:hyperlink r:id="rId42">
        <w:r>
          <w:rPr>
            <w:color w:val="0563C1"/>
            <w:u w:val="single"/>
          </w:rPr>
          <w:t>04_Documentacion/04_Evidencias_y_Demostracion.md</w:t>
        </w:r>
      </w:hyperlink>
    </w:p>
    <w:p>
      <w:bookmarkStart w:id="82" w:name="seccion_82"/>
      <w:pPr>
        <w:pStyle w:val="Heading2"/>
      </w:pPr>
      <w:r>
        <w:t>Anexo G. Mejoras y aceptación</w:t>
      </w:r>
      <w:bookmarkEnd w:id="82"/>
    </w:p>
    <w:p>
      <w:r>
        <w:rPr>
          <w:b w:val="0"/>
        </w:rPr>
        <w:t>El apartado 5.5 vincula mejoras concretas con commits y pull requests. La aceptación funcional está en 5.4 y 6.6. No se adjuntan actas de aceptación de la empresa porque no forman parte de las evidencias disponibles.</w:t>
      </w:r>
    </w:p>
    <w:p>
      <w:r>
        <w:rPr>
          <w:b w:val="0"/>
        </w:rPr>
      </w:r>
      <w:hyperlink r:id="rId36">
        <w:r>
          <w:rPr>
            <w:color w:val="0563C1"/>
            <w:u w:val="single"/>
          </w:rPr>
          <w:t>04_Documentacion/05_Registro_Cambios.md</w:t>
        </w:r>
      </w:hyperlink>
    </w:p>
    <w:p>
      <w:bookmarkStart w:id="83" w:name="seccion_83"/>
      <w:pPr>
        <w:pStyle w:val="Heading2"/>
      </w:pPr>
      <w:r>
        <w:t>Anexo H. Historial y aportes</w:t>
      </w:r>
      <w:bookmarkEnd w:id="83"/>
    </w:p>
    <w:p>
      <w:r>
        <w:rPr>
          <w:b w:val="0"/>
        </w:rPr>
      </w:r>
      <w:hyperlink r:id="rId20">
        <w:r>
          <w:rPr>
            <w:color w:val="0563C1"/>
            <w:u w:val="single"/>
          </w:rPr>
          <w:t>Historial de commits de la versión de referencia</w:t>
        </w:r>
      </w:hyperlink>
    </w:p>
    <w:p>
      <w:r>
        <w:rPr>
          <w:b w:val="0"/>
        </w:rPr>
      </w:r>
      <w:hyperlink r:id="rId43">
        <w:r>
          <w:rPr>
            <w:color w:val="0563C1"/>
            <w:u w:val="single"/>
          </w:rPr>
          <w:t>Pull request #3</w:t>
        </w:r>
      </w:hyperlink>
    </w:p>
    <w:p>
      <w:r>
        <w:rPr>
          <w:b w:val="0"/>
        </w:rPr>
      </w:r>
      <w:hyperlink r:id="rId44">
        <w:r>
          <w:rPr>
            <w:color w:val="0563C1"/>
            <w:u w:val="single"/>
          </w:rPr>
          <w:t>Pull request #4</w:t>
        </w:r>
      </w:hyperlink>
    </w:p>
    <w:p>
      <w:r>
        <w:rPr>
          <w:b w:val="0"/>
        </w:rPr>
      </w:r>
      <w:hyperlink r:id="rId45">
        <w:r>
          <w:rPr>
            <w:color w:val="0563C1"/>
            <w:u w:val="single"/>
          </w:rPr>
          <w:t>Pull request #5</w:t>
        </w:r>
      </w:hyperlink>
    </w:p>
    <w:p>
      <w:r>
        <w:rPr>
          <w:b w:val="0"/>
        </w:rPr>
        <w:t>Los enlaces permiten consultar los autores registrados y los archivos modificados. El reparto declarado por el equipo se presenta en 5.6; la publicación de un archivo y su elaboración son actividades distintas.</w:t>
      </w:r>
    </w:p>
    <w:p>
      <w:bookmarkStart w:id="84" w:name="seccion_84"/>
      <w:pPr>
        <w:pStyle w:val="Heading2"/>
        <w:pageBreakBefore/>
      </w:pPr>
      <w:r>
        <w:t>Anexo I. Declaración de uso responsable de IA</w:t>
      </w:r>
      <w:bookmarkEnd w:id="84"/>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268"/>
            <w:shd w:fill="E7EFF5"/>
            <w:vAlign w:val="center"/>
          </w:tcPr>
          <w:p>
            <w:pPr>
              <w:spacing w:after="60" w:before="40" w:line="240" w:lineRule="auto"/>
            </w:pPr>
            <w:r>
              <w:rPr>
                <w:rFonts w:ascii="Arial" w:hAnsi="Arial"/>
                <w:b/>
                <w:sz w:val="18"/>
              </w:rPr>
              <w:t>ASPECTO</w:t>
            </w:r>
          </w:p>
        </w:tc>
        <w:tc>
          <w:tcPr>
            <w:tcW w:type="dxa" w:w="7030"/>
            <w:shd w:fill="E7EFF5"/>
            <w:vAlign w:val="center"/>
          </w:tcPr>
          <w:p>
            <w:pPr>
              <w:spacing w:after="60" w:before="40" w:line="240" w:lineRule="auto"/>
            </w:pPr>
            <w:r>
              <w:rPr>
                <w:rFonts w:ascii="Arial" w:hAnsi="Arial"/>
                <w:b/>
                <w:sz w:val="18"/>
              </w:rPr>
              <w:t>DECLARACIÓN</w:t>
            </w:r>
          </w:p>
        </w:tc>
      </w:tr>
      <w:tr>
        <w:trPr>
          <w:cantSplit/>
        </w:trPr>
        <w:tc>
          <w:tcPr>
            <w:tcW w:type="dxa" w:w="2268"/>
            <w:vAlign w:val="center"/>
          </w:tcPr>
          <w:p>
            <w:pPr>
              <w:spacing w:after="60" w:before="40" w:line="240" w:lineRule="auto"/>
            </w:pPr>
            <w:r>
              <w:rPr>
                <w:rFonts w:ascii="Arial" w:hAnsi="Arial"/>
                <w:sz w:val="18"/>
              </w:rPr>
              <w:t>Uso</w:t>
            </w:r>
          </w:p>
        </w:tc>
        <w:tc>
          <w:tcPr>
            <w:tcW w:type="dxa" w:w="7030"/>
            <w:vAlign w:val="center"/>
          </w:tcPr>
          <w:p>
            <w:pPr>
              <w:spacing w:after="60" w:before="40" w:line="240" w:lineRule="auto"/>
            </w:pPr>
            <w:r>
              <w:rPr>
                <w:rFonts w:ascii="Arial" w:hAnsi="Arial"/>
                <w:sz w:val="18"/>
              </w:rPr>
              <w:t>Sí. Se utilizó asistencia de inteligencia artificial.</w:t>
            </w:r>
          </w:p>
        </w:tc>
      </w:tr>
      <w:tr>
        <w:trPr>
          <w:cantSplit/>
        </w:trPr>
        <w:tc>
          <w:tcPr>
            <w:tcW w:type="dxa" w:w="2268"/>
            <w:vAlign w:val="center"/>
          </w:tcPr>
          <w:p>
            <w:pPr>
              <w:spacing w:after="60" w:before="40" w:line="240" w:lineRule="auto"/>
            </w:pPr>
            <w:r>
              <w:rPr>
                <w:rFonts w:ascii="Arial" w:hAnsi="Arial"/>
                <w:sz w:val="18"/>
              </w:rPr>
              <w:t>Herramientas</w:t>
            </w:r>
          </w:p>
        </w:tc>
        <w:tc>
          <w:tcPr>
            <w:tcW w:type="dxa" w:w="7030"/>
            <w:vAlign w:val="center"/>
          </w:tcPr>
          <w:p>
            <w:pPr>
              <w:spacing w:after="60" w:before="40" w:line="240" w:lineRule="auto"/>
            </w:pPr>
            <w:r>
              <w:rPr>
                <w:rFonts w:ascii="Arial" w:hAnsi="Arial"/>
                <w:sz w:val="18"/>
              </w:rPr>
              <w:t>ChatGPT/Codex; Gemini según la declaración del documento de trabajo.</w:t>
            </w:r>
          </w:p>
        </w:tc>
      </w:tr>
      <w:tr>
        <w:trPr>
          <w:cantSplit/>
        </w:trPr>
        <w:tc>
          <w:tcPr>
            <w:tcW w:type="dxa" w:w="2268"/>
            <w:vAlign w:val="center"/>
          </w:tcPr>
          <w:p>
            <w:pPr>
              <w:spacing w:after="60" w:before="40" w:line="240" w:lineRule="auto"/>
            </w:pPr>
            <w:r>
              <w:rPr>
                <w:rFonts w:ascii="Arial" w:hAnsi="Arial"/>
                <w:sz w:val="18"/>
              </w:rPr>
              <w:t>Finalidad</w:t>
            </w:r>
          </w:p>
        </w:tc>
        <w:tc>
          <w:tcPr>
            <w:tcW w:type="dxa" w:w="7030"/>
            <w:vAlign w:val="center"/>
          </w:tcPr>
          <w:p>
            <w:pPr>
              <w:spacing w:after="60" w:before="40" w:line="240" w:lineRule="auto"/>
            </w:pPr>
            <w:r>
              <w:rPr>
                <w:rFonts w:ascii="Arial" w:hAnsi="Arial"/>
                <w:sz w:val="18"/>
              </w:rPr>
              <w:t>Apoyo en código, revisión de errores, organización de documentación y redacción.</w:t>
            </w:r>
          </w:p>
        </w:tc>
      </w:tr>
      <w:tr>
        <w:trPr>
          <w:cantSplit/>
        </w:trPr>
        <w:tc>
          <w:tcPr>
            <w:tcW w:type="dxa" w:w="2268"/>
            <w:vAlign w:val="center"/>
          </w:tcPr>
          <w:p>
            <w:pPr>
              <w:spacing w:after="60" w:before="40" w:line="240" w:lineRule="auto"/>
            </w:pPr>
            <w:r>
              <w:rPr>
                <w:rFonts w:ascii="Arial" w:hAnsi="Arial"/>
                <w:sz w:val="18"/>
              </w:rPr>
              <w:t>Partes</w:t>
            </w:r>
          </w:p>
        </w:tc>
        <w:tc>
          <w:tcPr>
            <w:tcW w:type="dxa" w:w="7030"/>
            <w:vAlign w:val="center"/>
          </w:tcPr>
          <w:p>
            <w:pPr>
              <w:spacing w:after="60" w:before="40" w:line="240" w:lineRule="auto"/>
            </w:pPr>
            <w:r>
              <w:rPr>
                <w:rFonts w:ascii="Arial" w:hAnsi="Arial"/>
                <w:sz w:val="18"/>
              </w:rPr>
              <w:t>Scripts T-SQL, explicaciones de KPI, guías y alineación del informe con las evidencias.</w:t>
            </w:r>
          </w:p>
        </w:tc>
      </w:tr>
      <w:tr>
        <w:trPr>
          <w:cantSplit/>
        </w:trPr>
        <w:tc>
          <w:tcPr>
            <w:tcW w:type="dxa" w:w="2268"/>
            <w:vAlign w:val="center"/>
          </w:tcPr>
          <w:p>
            <w:pPr>
              <w:spacing w:after="60" w:before="40" w:line="240" w:lineRule="auto"/>
            </w:pPr>
            <w:r>
              <w:rPr>
                <w:rFonts w:ascii="Arial" w:hAnsi="Arial"/>
                <w:sz w:val="18"/>
              </w:rPr>
              <w:t>Verificación disponible</w:t>
            </w:r>
          </w:p>
        </w:tc>
        <w:tc>
          <w:tcPr>
            <w:tcW w:type="dxa" w:w="7030"/>
            <w:vAlign w:val="center"/>
          </w:tcPr>
          <w:p>
            <w:pPr>
              <w:spacing w:after="60" w:before="40" w:line="240" w:lineRule="auto"/>
            </w:pPr>
            <w:r>
              <w:rPr>
                <w:rFonts w:ascii="Arial" w:hAnsi="Arial"/>
                <w:sz w:val="18"/>
              </w:rPr>
              <w:t>Contraste de fórmulas, revisión de archivos y resultados SQL publicados; las capturas provienen del equipo.</w:t>
            </w:r>
          </w:p>
        </w:tc>
      </w:tr>
      <w:tr>
        <w:trPr>
          <w:cantSplit/>
        </w:trPr>
        <w:tc>
          <w:tcPr>
            <w:tcW w:type="dxa" w:w="2268"/>
            <w:vAlign w:val="center"/>
          </w:tcPr>
          <w:p>
            <w:pPr>
              <w:spacing w:after="60" w:before="40" w:line="240" w:lineRule="auto"/>
            </w:pPr>
            <w:r>
              <w:rPr>
                <w:rFonts w:ascii="Arial" w:hAnsi="Arial"/>
                <w:sz w:val="18"/>
              </w:rPr>
              <w:t>Límites</w:t>
            </w:r>
          </w:p>
        </w:tc>
        <w:tc>
          <w:tcPr>
            <w:tcW w:type="dxa" w:w="7030"/>
            <w:vAlign w:val="center"/>
          </w:tcPr>
          <w:p>
            <w:pPr>
              <w:spacing w:after="60" w:before="40" w:line="240" w:lineRule="auto"/>
            </w:pPr>
            <w:r>
              <w:rPr>
                <w:rFonts w:ascii="Arial" w:hAnsi="Arial"/>
                <w:sz w:val="18"/>
              </w:rPr>
              <w:t>No sustituye la demostración, revisión final ni responsabilidad del equipo; no se inventan mediciones o aportes.</w:t>
            </w:r>
          </w:p>
        </w:tc>
      </w:tr>
      <w:tr>
        <w:trPr>
          <w:cantSplit/>
        </w:trPr>
        <w:tc>
          <w:tcPr>
            <w:tcW w:type="dxa" w:w="2268"/>
            <w:vAlign w:val="center"/>
          </w:tcPr>
          <w:p>
            <w:pPr>
              <w:spacing w:after="60" w:before="40" w:line="240" w:lineRule="auto"/>
            </w:pPr>
            <w:r>
              <w:rPr>
                <w:rFonts w:ascii="Arial" w:hAnsi="Arial"/>
                <w:sz w:val="18"/>
              </w:rPr>
              <w:t>Privacidad</w:t>
            </w:r>
          </w:p>
        </w:tc>
        <w:tc>
          <w:tcPr>
            <w:tcW w:type="dxa" w:w="7030"/>
            <w:vAlign w:val="center"/>
          </w:tcPr>
          <w:p>
            <w:pPr>
              <w:spacing w:after="60" w:before="40" w:line="240" w:lineRule="auto"/>
            </w:pPr>
            <w:r>
              <w:rPr>
                <w:rFonts w:ascii="Arial" w:hAnsi="Arial"/>
                <w:sz w:val="18"/>
              </w:rPr>
              <w:t>Los documentos aportados contenían nombres. La versión pública del generador no copia contactos ni PIN reales.</w:t>
            </w:r>
          </w:p>
        </w:tc>
      </w:tr>
    </w:tbl>
    <w:p>
      <w:r>
        <w:rPr>
          <w:b w:val="0"/>
        </w:rPr>
      </w:r>
    </w:p>
    <w:p>
      <w:r>
        <w:rPr>
          <w:b w:val="0"/>
        </w:rPr>
        <w:t>El equipo asume la responsabilidad de verificar la versión que presenta y de explicar sus decisiones. Esta declaración describe el apoyo utilizado; no incorpora firmas ni asegura revisiones individuales que no estén registradas.</w:t>
      </w:r>
    </w:p>
    <w:sectPr w:rsidR="00FC693F" w:rsidRPr="0006063C" w:rsidSect="00034616">
      <w:headerReference w:type="default" r:id="rId9"/>
      <w:footerReference w:type="default" r:id="rId10"/>
      <w:pgSz w:w="11906" w:h="16838"/>
      <w:pgMar w:top="1247" w:right="1191" w:bottom="1134"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GRUPO 2 · A&amp;SG S.A.C. · INTELIGENCIA DE NEGOCIOS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Arial" w:hAnsi="Arial"/>
      <w:b/>
      <w:bCs/>
      <w:color w:val="1F4564"/>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4564"/>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4564"/>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b/>
      <w:bCs/>
      <w:i/>
      <w:iCs/>
      <w:color w:val="1F45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F45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b-alfonso/Sistema_Remuneraciones_Reportes"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github.com/b-alfonso/Sistema_Remuneraciones_Reportes/blob/9726a5470b3ab6cd333edc21e1015d04da9598b3/01_Base_Datos/02_Creacion_Data_Mart.sql" TargetMode="External"/><Relationship Id="rId17" Type="http://schemas.openxmlformats.org/officeDocument/2006/relationships/hyperlink" Target="https://github.com/b-alfonso/Sistema_Remuneraciones_Reportes/blob/9726a5470b3ab6cd333edc21e1015d04da9598b3/02_Procedimientos_Almacenados/02_Procedimiento_ETL.sql" TargetMode="External"/><Relationship Id="rId18" Type="http://schemas.openxmlformats.org/officeDocument/2006/relationships/hyperlink" Target="https://github.com/b-alfonso/Sistema_Remuneraciones_Reportes/blob/9726a5470b3ab6cd333edc21e1015d04da9598b3/02_Procedimientos_Almacenados/03_Vistas_PowerBI.sql" TargetMode="External"/><Relationship Id="rId19" Type="http://schemas.openxmlformats.org/officeDocument/2006/relationships/hyperlink" Target="https://github.com/b-alfonso/Sistema_Remuneraciones_Reportes/blob/9726a5470b3ab6cd333edc21e1015d04da9598b3/04_Documentacion/Medidas_PowerBI.dax" TargetMode="External"/><Relationship Id="rId20" Type="http://schemas.openxmlformats.org/officeDocument/2006/relationships/hyperlink" Target="https://github.com/b-alfonso/Sistema_Remuneraciones_Reportes/commits/9726a5470b3ab6cd333edc21e1015d04da9598b3" TargetMode="External"/><Relationship Id="rId21" Type="http://schemas.openxmlformats.org/officeDocument/2006/relationships/hyperlink" Target="https://github.com/b-alfonso/Sistema_Remuneraciones_Reportes/pulls?q=is%3Apr"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hyperlink" Target="https://github.com/b-alfonso/Sistema_Remuneraciones_Reportes/blob/9726a5470b3ab6cd333edc21e1015d04da9598b3/03_Vistas_PowerBI/Reporte_Rendimiento_Personal.pbix" TargetMode="External"/><Relationship Id="rId25" Type="http://schemas.openxmlformats.org/officeDocument/2006/relationships/hyperlink" Target="https://learn.microsoft.com/en-us/sql/t-sql/statements/create-procedure-transact-sql" TargetMode="External"/><Relationship Id="rId26" Type="http://schemas.openxmlformats.org/officeDocument/2006/relationships/hyperlink" Target="https://learn.microsoft.com/en-us/power-bi/guidance/star-schema" TargetMode="External"/><Relationship Id="rId27" Type="http://schemas.openxmlformats.org/officeDocument/2006/relationships/hyperlink" Target="https://github.com/b-alfonso/Sistema_Remuneraciones_Reportes/tree/9726a5470b3ab6cd333edc21e1015d04da9598b3" TargetMode="External"/><Relationship Id="rId28" Type="http://schemas.openxmlformats.org/officeDocument/2006/relationships/hyperlink" Target="https://github.com/b-alfonso/Sistema_Remuneraciones_Reportes/blob/9726a5470b3ab6cd333edc21e1015d04da9598b3/04_Documentacion/08_Padron_Trabajadores.md" TargetMode="External"/><Relationship Id="rId29" Type="http://schemas.openxmlformats.org/officeDocument/2006/relationships/hyperlink" Target="https://github.com/b-alfonso/Sistema_Remuneraciones_Reportes/blob/9726a5470b3ab6cd333edc21e1015d04da9598b3/04_Documentacion/Evidencias/03_Resultados_Padron_Origen.txt" TargetMode="External"/><Relationship Id="rId30" Type="http://schemas.openxmlformats.org/officeDocument/2006/relationships/hyperlink" Target="https://github.com/b-alfonso/Sistema_Remuneraciones_Reportes/blob/9726a5470b3ab6cd333edc21e1015d04da9598b3/01_Base_Datos/01_Estructura_y_Datos.sql" TargetMode="External"/><Relationship Id="rId31" Type="http://schemas.openxmlformats.org/officeDocument/2006/relationships/hyperlink" Target="https://github.com/b-alfonso/Sistema_Remuneraciones_Reportes/blob/9726a5470b3ab6cd333edc21e1015d04da9598b3/04_Documentacion/00_Orden_Ejecucion.md" TargetMode="External"/><Relationship Id="rId32" Type="http://schemas.openxmlformats.org/officeDocument/2006/relationships/hyperlink" Target="https://github.com/b-alfonso/Sistema_Remuneraciones_Reportes/blob/9726a5470b3ab6cd333edc21e1015d04da9598b3/04_Documentacion/Evidencias/03_Modelo_Estrella_SSMS.png" TargetMode="External"/><Relationship Id="rId33" Type="http://schemas.openxmlformats.org/officeDocument/2006/relationships/hyperlink" Target="https://github.com/b-alfonso/Sistema_Remuneraciones_Reportes/blob/9726a5470b3ab6cd333edc21e1015d04da9598b3/04_Documentacion/Evidencias/07_Rendimiento_Personal.png" TargetMode="External"/><Relationship Id="rId34" Type="http://schemas.openxmlformats.org/officeDocument/2006/relationships/hyperlink" Target="https://github.com/b-alfonso/Sistema_Remuneraciones_Reportes/blob/9726a5470b3ab6cd333edc21e1015d04da9598b3/04_Documentacion/01_Validacion_ETL.sql" TargetMode="External"/><Relationship Id="rId35" Type="http://schemas.openxmlformats.org/officeDocument/2006/relationships/hyperlink" Target="https://github.com/b-alfonso/Sistema_Remuneraciones_Reportes/blob/9726a5470b3ab6cd333edc21e1015d04da9598b3/04_Documentacion/Evidencias/05_Conciliacion_Idempotencia.png" TargetMode="External"/><Relationship Id="rId36" Type="http://schemas.openxmlformats.org/officeDocument/2006/relationships/hyperlink" Target="https://github.com/b-alfonso/Sistema_Remuneraciones_Reportes/blob/9726a5470b3ab6cd333edc21e1015d04da9598b3/04_Documentacion/05_Registro_Cambios.md" TargetMode="External"/><Relationship Id="rId37" Type="http://schemas.openxmlformats.org/officeDocument/2006/relationships/hyperlink" Target="https://github.com/b-alfonso/Sistema_Remuneraciones_Reportes/blob/9726a5470b3ab6cd333edc21e1015d04da9598b3/03_Vistas_PowerBI/06_Modelo_PowerBI.png" TargetMode="External"/><Relationship Id="rId38" Type="http://schemas.openxmlformats.org/officeDocument/2006/relationships/hyperlink" Target="https://github.com/b-alfonso/Sistema_Remuneraciones_Reportes/blob/9726a5470b3ab6cd333edc21e1015d04da9598b3/04_Documentacion/09_Guia_Completa.md" TargetMode="External"/><Relationship Id="rId39" Type="http://schemas.openxmlformats.org/officeDocument/2006/relationships/hyperlink" Target="https://github.com/b-alfonso/Sistema_Remuneraciones_Reportes/blob/9726a5470b3ab6cd333edc21e1015d04da9598b3/04_Documentacion/06_Consultas_Evidencia.sql" TargetMode="External"/><Relationship Id="rId40" Type="http://schemas.openxmlformats.org/officeDocument/2006/relationships/hyperlink" Target="https://github.com/b-alfonso/Sistema_Remuneraciones_Reportes/blob/9726a5470b3ab6cd333edc21e1015d04da9598b3/04_Documentacion/Remuneracion_Referencial.dax" TargetMode="External"/><Relationship Id="rId41" Type="http://schemas.openxmlformats.org/officeDocument/2006/relationships/hyperlink" Target="https://github.com/b-alfonso/Sistema_Remuneraciones_Reportes/blob/9726a5470b3ab6cd333edc21e1015d04da9598b3/04_Documentacion/03_Guia_PowerBI.md" TargetMode="External"/><Relationship Id="rId42" Type="http://schemas.openxmlformats.org/officeDocument/2006/relationships/hyperlink" Target="https://github.com/b-alfonso/Sistema_Remuneraciones_Reportes/blob/9726a5470b3ab6cd333edc21e1015d04da9598b3/04_Documentacion/04_Evidencias_y_Demostracion.md" TargetMode="External"/><Relationship Id="rId43" Type="http://schemas.openxmlformats.org/officeDocument/2006/relationships/hyperlink" Target="https://github.com/b-alfonso/Sistema_Remuneraciones_Reportes/pull/3" TargetMode="External"/><Relationship Id="rId44" Type="http://schemas.openxmlformats.org/officeDocument/2006/relationships/hyperlink" Target="https://github.com/b-alfonso/Sistema_Remuneraciones_Reportes/pull/4" TargetMode="External"/><Relationship Id="rId45" Type="http://schemas.openxmlformats.org/officeDocument/2006/relationships/hyperlink" Target="https://github.com/b-alfonso/Sistema_Remuneraciones_Reportes/pull/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de Inteligencia de Negocios para el análisis del rendimiento del personal de A&amp;SG S.A.C.</dc:title>
  <dc:subject>Entrega T2 · SQL Server, ETL, Data Mart y Power BI</dc:subject>
  <dc:creator>Grupo 2</dc:creator>
  <cp:keywords>SQL Server, ETL, Data Mart, Power BI, rendimiento laboral</cp:keywords>
  <dc:description/>
  <cp:lastModifiedBy>Grupo 2</cp:lastModifiedBy>
  <cp:revision>1</cp:revision>
  <dcterms:created xsi:type="dcterms:W3CDTF">2026-10-23T00:00:00Z</dcterms:created>
  <dcterms:modified xsi:type="dcterms:W3CDTF">2026-10-23T22:51:23Z</dcterms:modified>
  <cp:category/>
</cp:coreProperties>
</file>