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INFORME FINAL DE AUDITORÍA INFORMÁTICA</w:t>
      </w:r>
    </w:p>
    <w:p>
      <w:pPr>
        <w:jc w:val="center"/>
      </w:pPr>
      <w:r>
        <w:t>Departamento de Infraestructura de Red y Comunicaciones - TeleNET Solutions C.A.</w:t>
      </w:r>
    </w:p>
    <w:p/>
    <w:p>
      <w:r>
        <w:rPr>
          <w:b/>
        </w:rPr>
        <w:t xml:space="preserve">Fecha de auditoría: </w:t>
      </w:r>
      <w:r>
        <w:t xml:space="preserve">03 al 07 de febrero de 2026 | </w:t>
      </w:r>
      <w:r>
        <w:rPr>
          <w:b/>
        </w:rPr>
        <w:t xml:space="preserve">Equipo Auditor: </w:t>
      </w:r>
      <w:r>
        <w:t>Víctor Ysea (Líder), María Yoris, Fiorella David, Juan Marcano</w:t>
      </w:r>
    </w:p>
    <w:p>
      <w:r>
        <w:rPr>
          <w:b/>
        </w:rPr>
        <w:t xml:space="preserve">Personal Entrevistado: </w:t>
      </w:r>
      <w:r>
        <w:t>Carlos Mendoza (Gerente), Roberto Fernández, Ana Martínez, Luis Pérez, Carmen Díaz</w:t>
      </w:r>
    </w:p>
    <w:p/>
    <w:p>
      <w:r>
        <w:rPr>
          <w:b/>
        </w:rPr>
        <w:t>ALCANCE Y OBJETIVOS</w:t>
      </w:r>
    </w:p>
    <w:p>
      <w:pPr>
        <w:jc w:val="both"/>
      </w:pPr>
      <w:r>
        <w:t>Se evaluaron los controles de seguridad, infraestructura tecnológica, controles internos, cumplimiento normativo y eficiencia operativa del área, utilizando como muestra la semana del 06 al 10 de enero de 2026. El objetivo fue verificar que los recursos informáticos son adecuadamente utilizados y vigilados, identificando vulnerabilidades y evaluando la capacidad de continuidad operativa.</w:t>
      </w:r>
    </w:p>
    <w:p/>
    <w:p>
      <w:r>
        <w:rPr>
          <w:b/>
        </w:rPr>
        <w:t>HALLAZGOS PRINCIPALES</w:t>
      </w:r>
    </w:p>
    <w:p>
      <w:pPr>
        <w:jc w:val="both"/>
      </w:pPr>
      <w:r>
        <w:t>Se identificaron seis hallazgos significativos: (1) ausencia de pruebas de restauración de respaldos desde hace 8 meses, incumpliendo la política de pruebas mensuales; (2) licencia de Nessus vencida hace 3 meses, inhabilitando el escaneo de vulnerabilidades; (3) firmware de equipos Cisco desactualizado por más de 2 años con vulnerabilidades conocidas; (4) una unidad UPS sin mantenimiento preventivo en 18 meses; (5) tres cambios ejecutados sin aprobación formal durante la semana de muestreo; y (6) dos servidores HP operando sin soporte del fabricante.</w:t>
      </w:r>
    </w:p>
    <w:p/>
    <w:p>
      <w:r>
        <w:rPr>
          <w:b/>
        </w:rPr>
        <w:t>CONCLUSIONES</w:t>
      </w:r>
    </w:p>
    <w:p>
      <w:pPr>
        <w:jc w:val="both"/>
      </w:pPr>
      <w:r>
        <w:t>El área presenta deficiencias significativas: tres de cinco áreas evaluadas resultaron DEFICIENTES (Seguridad, Infraestructura y Controles Internos) y dos PARCIALES (Cumplimiento y Eficiencia). Se evidenció además que dos recomendaciones de la auditoría de 2024 no fueron implementadas.</w:t>
      </w:r>
    </w:p>
    <w:p/>
    <w:p>
      <w:r>
        <w:rPr>
          <w:b/>
        </w:rPr>
        <w:t>RECOMENDACIONES</w:t>
      </w:r>
    </w:p>
    <w:p>
      <w:pPr>
        <w:jc w:val="both"/>
      </w:pPr>
      <w:r>
        <w:t>Se recomienda: (1) implementar pruebas mensuales de restauración de respaldos de manera inmediata; (2) renovar la licencia de Nessus o implementar alternativa en 15 días; (3) elaborar plan de actualización de firmware en 30 días; (4) ejecutar mantenimiento de UPS de forma inmediata; (5) reforzar el cumplimiento del procedimiento de gestión de cambios; y (6) presentar plan de migración de servidores obsoletos en 60 días. El seguimiento se realizará en 90 días.</w:t>
      </w:r>
    </w:p>
    <w:p/>
    <w:p/>
    <w:p>
      <w:pPr>
        <w:jc w:val="center"/>
      </w:pPr>
      <w:r>
        <w:t>____________________________                    ____________________________</w:t>
      </w:r>
    </w:p>
    <w:p>
      <w:pPr>
        <w:jc w:val="center"/>
      </w:pPr>
      <w:r>
        <w:t>Víctor Ysea                                                    Carlos Mendoza</w:t>
      </w:r>
    </w:p>
    <w:p>
      <w:pPr>
        <w:jc w:val="center"/>
      </w:pPr>
      <w:r>
        <w:rPr>
          <w:sz w:val="20"/>
        </w:rPr>
        <w:t>Líder del Equipo Auditor                                Gerente de Infraestructura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