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4"/>
        </w:rPr>
        <w:t>REFERENCIAS BIBLIOGRÁFICAS</w:t>
      </w:r>
    </w:p>
    <w:p/>
    <w:p>
      <w:r>
        <w:rPr>
          <w:rFonts w:ascii="Arial" w:hAnsi="Arial"/>
          <w:b/>
          <w:sz w:val="24"/>
        </w:rPr>
        <w:t>Libros</w:t>
      </w:r>
    </w:p>
    <w:p>
      <w:pPr>
        <w:spacing w:after="120"/>
      </w:pPr>
      <w:r>
        <w:rPr>
          <w:rFonts w:ascii="Arial" w:hAnsi="Arial"/>
          <w:sz w:val="24"/>
        </w:rPr>
        <w:t xml:space="preserve">Abernethy, R. B. (2006). </w:t>
      </w:r>
      <w:r>
        <w:rPr>
          <w:rFonts w:ascii="Arial" w:hAnsi="Arial"/>
          <w:i/>
          <w:sz w:val="24"/>
        </w:rPr>
        <w:t>The new Weibull handbook: Reliability &amp; statistical analysis for predicting life, safety, survivability, risk, cost and warranty claims</w:t>
      </w:r>
      <w:r>
        <w:rPr>
          <w:rFonts w:ascii="Arial" w:hAnsi="Arial"/>
          <w:sz w:val="24"/>
        </w:rPr>
        <w:t xml:space="preserve"> (5th ed.). Robert B. Abernethy.</w:t>
      </w:r>
    </w:p>
    <w:p>
      <w:pPr>
        <w:spacing w:after="120"/>
      </w:pPr>
      <w:r>
        <w:rPr>
          <w:rFonts w:ascii="Arial" w:hAnsi="Arial"/>
          <w:sz w:val="24"/>
        </w:rPr>
        <w:t xml:space="preserve">Arias, F. G. (2016). </w:t>
      </w:r>
      <w:r>
        <w:rPr>
          <w:rFonts w:ascii="Arial" w:hAnsi="Arial"/>
          <w:i/>
          <w:sz w:val="24"/>
        </w:rPr>
        <w:t>El proyecto de investigación: Introducción a la metodología científica</w:t>
      </w:r>
      <w:r>
        <w:rPr>
          <w:rFonts w:ascii="Arial" w:hAnsi="Arial"/>
          <w:sz w:val="24"/>
        </w:rPr>
        <w:t xml:space="preserve"> (7ma ed.). Editorial Episteme.</w:t>
      </w:r>
    </w:p>
    <w:p>
      <w:pPr>
        <w:spacing w:after="120"/>
      </w:pPr>
      <w:r>
        <w:rPr>
          <w:rFonts w:ascii="Arial" w:hAnsi="Arial"/>
          <w:sz w:val="24"/>
        </w:rPr>
        <w:t xml:space="preserve">ASHRAE. (2019). </w:t>
      </w:r>
      <w:r>
        <w:rPr>
          <w:rFonts w:ascii="Arial" w:hAnsi="Arial"/>
          <w:i/>
          <w:sz w:val="24"/>
        </w:rPr>
        <w:t>ASHRAE handbook: HVAC applications</w:t>
      </w:r>
      <w:r>
        <w:rPr>
          <w:rFonts w:ascii="Arial" w:hAnsi="Arial"/>
          <w:sz w:val="24"/>
        </w:rPr>
        <w:t>. American Society of Heating, Refrigerating and Air-Conditioning Engineers.</w:t>
      </w:r>
    </w:p>
    <w:p>
      <w:pPr>
        <w:spacing w:after="120"/>
      </w:pPr>
      <w:r>
        <w:rPr>
          <w:rFonts w:ascii="Arial" w:hAnsi="Arial"/>
          <w:sz w:val="24"/>
        </w:rPr>
        <w:t xml:space="preserve">Balestrini, M. (2006). </w:t>
      </w:r>
      <w:r>
        <w:rPr>
          <w:rFonts w:ascii="Arial" w:hAnsi="Arial"/>
          <w:i/>
          <w:sz w:val="24"/>
        </w:rPr>
        <w:t>Cómo se elabora el proyecto de investigación</w:t>
      </w:r>
      <w:r>
        <w:rPr>
          <w:rFonts w:ascii="Arial" w:hAnsi="Arial"/>
          <w:sz w:val="24"/>
        </w:rPr>
        <w:t xml:space="preserve"> (7ma ed.). BL Consultores Asociados.</w:t>
      </w:r>
    </w:p>
    <w:p>
      <w:pPr>
        <w:spacing w:after="120"/>
      </w:pPr>
      <w:r>
        <w:rPr>
          <w:rFonts w:ascii="Arial" w:hAnsi="Arial"/>
          <w:sz w:val="24"/>
        </w:rPr>
        <w:t xml:space="preserve">Benavides, O. &amp; Gutiérrez, M. (2007). </w:t>
      </w:r>
      <w:r>
        <w:rPr>
          <w:rFonts w:ascii="Arial" w:hAnsi="Arial"/>
          <w:i/>
          <w:sz w:val="24"/>
        </w:rPr>
        <w:t>Seguridad industrial: Un enfoque integral</w:t>
      </w:r>
      <w:r>
        <w:rPr>
          <w:rFonts w:ascii="Arial" w:hAnsi="Arial"/>
          <w:sz w:val="24"/>
        </w:rPr>
        <w:t>. Editorial Ecoe Ediciones.</w:t>
      </w:r>
    </w:p>
    <w:p>
      <w:pPr>
        <w:spacing w:after="120"/>
      </w:pPr>
      <w:r>
        <w:rPr>
          <w:rFonts w:ascii="Arial" w:hAnsi="Arial"/>
          <w:sz w:val="24"/>
        </w:rPr>
        <w:t xml:space="preserve">Bernal Torres, C. A. (2010). </w:t>
      </w:r>
      <w:r>
        <w:rPr>
          <w:rFonts w:ascii="Arial" w:hAnsi="Arial"/>
          <w:i/>
          <w:sz w:val="24"/>
        </w:rPr>
        <w:t>Metodología de la investigación: Administración, Economía, Humanidades y Ciencias Sociales</w:t>
      </w:r>
      <w:r>
        <w:rPr>
          <w:rFonts w:ascii="Arial" w:hAnsi="Arial"/>
          <w:sz w:val="24"/>
        </w:rPr>
        <w:t xml:space="preserve"> (3ra ed.). Pearson Educación.</w:t>
      </w:r>
    </w:p>
    <w:p>
      <w:pPr>
        <w:spacing w:after="120"/>
      </w:pPr>
      <w:r>
        <w:rPr>
          <w:rFonts w:ascii="Arial" w:hAnsi="Arial"/>
          <w:sz w:val="24"/>
        </w:rPr>
        <w:t xml:space="preserve">Blanchard, B. S. (1998). </w:t>
      </w:r>
      <w:r>
        <w:rPr>
          <w:rFonts w:ascii="Arial" w:hAnsi="Arial"/>
          <w:i/>
          <w:sz w:val="24"/>
        </w:rPr>
        <w:t>Logistics engineering and management</w:t>
      </w:r>
      <w:r>
        <w:rPr>
          <w:rFonts w:ascii="Arial" w:hAnsi="Arial"/>
          <w:sz w:val="24"/>
        </w:rPr>
        <w:t xml:space="preserve"> (5th ed.). Prentice Hall.</w:t>
      </w:r>
    </w:p>
    <w:p>
      <w:pPr>
        <w:spacing w:after="120"/>
      </w:pPr>
      <w:r>
        <w:rPr>
          <w:rFonts w:ascii="Arial" w:hAnsi="Arial"/>
          <w:sz w:val="24"/>
        </w:rPr>
        <w:t xml:space="preserve">Blanchard, B. S. (2018). </w:t>
      </w:r>
      <w:r>
        <w:rPr>
          <w:rFonts w:ascii="Arial" w:hAnsi="Arial"/>
          <w:i/>
          <w:sz w:val="24"/>
        </w:rPr>
        <w:t>System engineering management</w:t>
      </w:r>
      <w:r>
        <w:rPr>
          <w:rFonts w:ascii="Arial" w:hAnsi="Arial"/>
          <w:sz w:val="24"/>
        </w:rPr>
        <w:t xml:space="preserve"> (5th ed.). John Wiley &amp; Sons.</w:t>
      </w:r>
    </w:p>
    <w:p>
      <w:pPr>
        <w:spacing w:after="120"/>
      </w:pPr>
      <w:r>
        <w:rPr>
          <w:rFonts w:ascii="Arial" w:hAnsi="Arial"/>
          <w:sz w:val="24"/>
        </w:rPr>
        <w:t xml:space="preserve">Cortés, J. M. (2002). </w:t>
      </w:r>
      <w:r>
        <w:rPr>
          <w:rFonts w:ascii="Arial" w:hAnsi="Arial"/>
          <w:i/>
          <w:sz w:val="24"/>
        </w:rPr>
        <w:t>Seguridad e higiene del trabajo: Técnicas de prevención de riesgos laborales</w:t>
      </w:r>
      <w:r>
        <w:rPr>
          <w:rFonts w:ascii="Arial" w:hAnsi="Arial"/>
          <w:sz w:val="24"/>
        </w:rPr>
        <w:t xml:space="preserve"> (3ra ed.). Editorial Tébar.</w:t>
      </w:r>
    </w:p>
    <w:p>
      <w:pPr>
        <w:spacing w:after="120"/>
      </w:pPr>
      <w:r>
        <w:rPr>
          <w:rFonts w:ascii="Arial" w:hAnsi="Arial"/>
          <w:sz w:val="24"/>
        </w:rPr>
        <w:t xml:space="preserve">Crespo Márquez, A. (2007). </w:t>
      </w:r>
      <w:r>
        <w:rPr>
          <w:rFonts w:ascii="Arial" w:hAnsi="Arial"/>
          <w:i/>
          <w:sz w:val="24"/>
        </w:rPr>
        <w:t>The maintenance management framework: Models and methods for complex systems maintenance</w:t>
      </w:r>
      <w:r>
        <w:rPr>
          <w:rFonts w:ascii="Arial" w:hAnsi="Arial"/>
          <w:sz w:val="24"/>
        </w:rPr>
        <w:t>. Springer-Verlag London Limited.</w:t>
      </w:r>
    </w:p>
    <w:p>
      <w:pPr>
        <w:spacing w:after="120"/>
      </w:pPr>
      <w:r>
        <w:rPr>
          <w:rFonts w:ascii="Arial" w:hAnsi="Arial"/>
          <w:sz w:val="24"/>
        </w:rPr>
        <w:t xml:space="preserve">Crespo, A. (2020). </w:t>
      </w:r>
      <w:r>
        <w:rPr>
          <w:rFonts w:ascii="Arial" w:hAnsi="Arial"/>
          <w:i/>
          <w:sz w:val="24"/>
        </w:rPr>
        <w:t>Ingeniería de mantenimiento y fiabilidad aplicada en la gestión de activos</w:t>
      </w:r>
      <w:r>
        <w:rPr>
          <w:rFonts w:ascii="Arial" w:hAnsi="Arial"/>
          <w:sz w:val="24"/>
        </w:rPr>
        <w:t xml:space="preserve"> (3ra ed.). INGEMAN.</w:t>
      </w:r>
    </w:p>
    <w:p>
      <w:pPr>
        <w:spacing w:after="120"/>
      </w:pPr>
      <w:r>
        <w:rPr>
          <w:rFonts w:ascii="Arial" w:hAnsi="Arial"/>
          <w:sz w:val="24"/>
        </w:rPr>
        <w:t xml:space="preserve">Hernández Sampieri, R., Fernández Collado, C., &amp; Baptista Lucio, P. (2014). </w:t>
      </w:r>
      <w:r>
        <w:rPr>
          <w:rFonts w:ascii="Arial" w:hAnsi="Arial"/>
          <w:i/>
          <w:sz w:val="24"/>
        </w:rPr>
        <w:t>Metodología de la investigación</w:t>
      </w:r>
      <w:r>
        <w:rPr>
          <w:rFonts w:ascii="Arial" w:hAnsi="Arial"/>
          <w:sz w:val="24"/>
        </w:rPr>
        <w:t xml:space="preserve"> (6ta ed.). McGraw-Hill Education.</w:t>
      </w:r>
    </w:p>
    <w:p>
      <w:pPr>
        <w:spacing w:after="120"/>
      </w:pPr>
      <w:r>
        <w:rPr>
          <w:rFonts w:ascii="Arial" w:hAnsi="Arial"/>
          <w:sz w:val="24"/>
        </w:rPr>
        <w:t xml:space="preserve">Hurtado de Barrera, J. (2010). </w:t>
      </w:r>
      <w:r>
        <w:rPr>
          <w:rFonts w:ascii="Arial" w:hAnsi="Arial"/>
          <w:i/>
          <w:sz w:val="24"/>
        </w:rPr>
        <w:t>Metodología de la investigación: Guía para una comprensión holística de la ciencia</w:t>
      </w:r>
      <w:r>
        <w:rPr>
          <w:rFonts w:ascii="Arial" w:hAnsi="Arial"/>
          <w:sz w:val="24"/>
        </w:rPr>
        <w:t xml:space="preserve"> (4ta ed.). Ediciones Quirón.</w:t>
      </w:r>
    </w:p>
    <w:p>
      <w:pPr>
        <w:spacing w:after="120"/>
      </w:pPr>
      <w:r>
        <w:rPr>
          <w:rFonts w:ascii="Arial" w:hAnsi="Arial"/>
          <w:sz w:val="24"/>
        </w:rPr>
        <w:t xml:space="preserve">Knezevic, J. (1996). </w:t>
      </w:r>
      <w:r>
        <w:rPr>
          <w:rFonts w:ascii="Arial" w:hAnsi="Arial"/>
          <w:i/>
          <w:sz w:val="24"/>
        </w:rPr>
        <w:t>Systems maintainability: Analysis, engineering and management</w:t>
      </w:r>
      <w:r>
        <w:rPr>
          <w:rFonts w:ascii="Arial" w:hAnsi="Arial"/>
          <w:sz w:val="24"/>
        </w:rPr>
        <w:t>. Chapman &amp; Hall.</w:t>
      </w:r>
    </w:p>
    <w:p>
      <w:pPr>
        <w:spacing w:after="120"/>
      </w:pPr>
      <w:r>
        <w:rPr>
          <w:rFonts w:ascii="Arial" w:hAnsi="Arial"/>
          <w:sz w:val="24"/>
        </w:rPr>
        <w:t xml:space="preserve">Mobley, R. K. (2002). </w:t>
      </w:r>
      <w:r>
        <w:rPr>
          <w:rFonts w:ascii="Arial" w:hAnsi="Arial"/>
          <w:i/>
          <w:sz w:val="24"/>
        </w:rPr>
        <w:t>An introduction to predictive maintenance</w:t>
      </w:r>
      <w:r>
        <w:rPr>
          <w:rFonts w:ascii="Arial" w:hAnsi="Arial"/>
          <w:sz w:val="24"/>
        </w:rPr>
        <w:t xml:space="preserve"> (2nd ed.). Butterworth-Heinemann.</w:t>
      </w:r>
    </w:p>
    <w:p>
      <w:pPr>
        <w:spacing w:after="120"/>
      </w:pPr>
      <w:r>
        <w:rPr>
          <w:rFonts w:ascii="Arial" w:hAnsi="Arial"/>
          <w:sz w:val="24"/>
        </w:rPr>
        <w:t xml:space="preserve">Moubray, J. (1997). </w:t>
      </w:r>
      <w:r>
        <w:rPr>
          <w:rFonts w:ascii="Arial" w:hAnsi="Arial"/>
          <w:i/>
          <w:sz w:val="24"/>
        </w:rPr>
        <w:t>Reliability-centered maintenance</w:t>
      </w:r>
      <w:r>
        <w:rPr>
          <w:rFonts w:ascii="Arial" w:hAnsi="Arial"/>
          <w:sz w:val="24"/>
        </w:rPr>
        <w:t xml:space="preserve"> (2nd ed.). Industrial Press Inc.</w:t>
      </w:r>
    </w:p>
    <w:p>
      <w:pPr>
        <w:spacing w:after="120"/>
      </w:pPr>
      <w:r>
        <w:rPr>
          <w:rFonts w:ascii="Arial" w:hAnsi="Arial"/>
          <w:sz w:val="24"/>
        </w:rPr>
        <w:t xml:space="preserve">Moubray, J. (2017). </w:t>
      </w:r>
      <w:r>
        <w:rPr>
          <w:rFonts w:ascii="Arial" w:hAnsi="Arial"/>
          <w:i/>
          <w:sz w:val="24"/>
        </w:rPr>
        <w:t>Reliability-centered maintenance</w:t>
      </w:r>
      <w:r>
        <w:rPr>
          <w:rFonts w:ascii="Arial" w:hAnsi="Arial"/>
          <w:sz w:val="24"/>
        </w:rPr>
        <w:t xml:space="preserve"> (3rd ed.). Industrial Press Inc.</w:t>
      </w:r>
    </w:p>
    <w:p>
      <w:pPr>
        <w:spacing w:after="120"/>
      </w:pPr>
      <w:r>
        <w:rPr>
          <w:rFonts w:ascii="Arial" w:hAnsi="Arial"/>
          <w:sz w:val="24"/>
        </w:rPr>
        <w:t xml:space="preserve">Palella Stracuzzi, S., &amp; Martins Pestana, F. (2017). </w:t>
      </w:r>
      <w:r>
        <w:rPr>
          <w:rFonts w:ascii="Arial" w:hAnsi="Arial"/>
          <w:i/>
          <w:sz w:val="24"/>
        </w:rPr>
        <w:t>Metodología de la investigación cuantitativa</w:t>
      </w:r>
      <w:r>
        <w:rPr>
          <w:rFonts w:ascii="Arial" w:hAnsi="Arial"/>
          <w:sz w:val="24"/>
        </w:rPr>
        <w:t xml:space="preserve"> (4ta ed.). Fondo Editorial de la Universidad Pedagógica Experimental Libertador (FEDUPEL).</w:t>
      </w:r>
    </w:p>
    <w:p>
      <w:pPr>
        <w:spacing w:after="120"/>
      </w:pPr>
      <w:r>
        <w:rPr>
          <w:rFonts w:ascii="Arial" w:hAnsi="Arial"/>
          <w:sz w:val="24"/>
        </w:rPr>
        <w:t xml:space="preserve">PMI. (2021). </w:t>
      </w:r>
      <w:r>
        <w:rPr>
          <w:rFonts w:ascii="Arial" w:hAnsi="Arial"/>
          <w:i/>
          <w:sz w:val="24"/>
        </w:rPr>
        <w:t>A guide to the project management body of knowledge (PMBOK Guide)</w:t>
      </w:r>
      <w:r>
        <w:rPr>
          <w:rFonts w:ascii="Arial" w:hAnsi="Arial"/>
          <w:sz w:val="24"/>
        </w:rPr>
        <w:t xml:space="preserve"> (7th ed.). Project Management Institute.</w:t>
      </w:r>
    </w:p>
    <w:p>
      <w:pPr>
        <w:spacing w:after="120"/>
      </w:pPr>
      <w:r>
        <w:rPr>
          <w:rFonts w:ascii="Arial" w:hAnsi="Arial"/>
          <w:sz w:val="24"/>
        </w:rPr>
        <w:t xml:space="preserve">Rodríguez, A. (2008). </w:t>
      </w:r>
      <w:r>
        <w:rPr>
          <w:rFonts w:ascii="Arial" w:hAnsi="Arial"/>
          <w:i/>
          <w:sz w:val="24"/>
        </w:rPr>
        <w:t>Gestión del mantenimiento industrial</w:t>
      </w:r>
      <w:r>
        <w:rPr>
          <w:rFonts w:ascii="Arial" w:hAnsi="Arial"/>
          <w:sz w:val="24"/>
        </w:rPr>
        <w:t>. Editorial McGraw-Hill.</w:t>
      </w:r>
    </w:p>
    <w:p>
      <w:pPr>
        <w:spacing w:after="120"/>
      </w:pPr>
      <w:r>
        <w:rPr>
          <w:rFonts w:ascii="Arial" w:hAnsi="Arial"/>
          <w:sz w:val="24"/>
        </w:rPr>
        <w:t xml:space="preserve">Rodríguez, A. (2018). </w:t>
      </w:r>
      <w:r>
        <w:rPr>
          <w:rFonts w:ascii="Arial" w:hAnsi="Arial"/>
          <w:i/>
          <w:sz w:val="24"/>
        </w:rPr>
        <w:t>Gestión integral del mantenimiento industrial</w:t>
      </w:r>
      <w:r>
        <w:rPr>
          <w:rFonts w:ascii="Arial" w:hAnsi="Arial"/>
          <w:sz w:val="24"/>
        </w:rPr>
        <w:t xml:space="preserve"> (2da ed.). McGraw-Hill Interamericana.</w:t>
      </w:r>
    </w:p>
    <w:p>
      <w:pPr>
        <w:spacing w:after="120"/>
      </w:pPr>
      <w:r>
        <w:rPr>
          <w:rFonts w:ascii="Arial" w:hAnsi="Arial"/>
          <w:sz w:val="24"/>
        </w:rPr>
        <w:t xml:space="preserve">UPEL. (2016). </w:t>
      </w:r>
      <w:r>
        <w:rPr>
          <w:rFonts w:ascii="Arial" w:hAnsi="Arial"/>
          <w:i/>
          <w:sz w:val="24"/>
        </w:rPr>
        <w:t>Manual de trabajos de grado de especialización y maestría y tesis doctorales</w:t>
      </w:r>
      <w:r>
        <w:rPr>
          <w:rFonts w:ascii="Arial" w:hAnsi="Arial"/>
          <w:sz w:val="24"/>
        </w:rPr>
        <w:t xml:space="preserve"> (5ta ed.). Fondo Editorial de la Universidad Pedagógica Experimental Libertador.</w:t>
      </w:r>
    </w:p>
    <w:p/>
    <w:p>
      <w:r>
        <w:rPr>
          <w:rFonts w:ascii="Arial" w:hAnsi="Arial"/>
          <w:b/>
          <w:sz w:val="24"/>
        </w:rPr>
        <w:t>Trabajos de Grado</w:t>
      </w:r>
    </w:p>
    <w:p>
      <w:pPr>
        <w:spacing w:after="120"/>
      </w:pPr>
      <w:r>
        <w:rPr>
          <w:rFonts w:ascii="Arial" w:hAnsi="Arial"/>
          <w:sz w:val="24"/>
        </w:rPr>
        <w:t xml:space="preserve">Rojas Cordova, A. (2019). </w:t>
      </w:r>
      <w:r>
        <w:rPr>
          <w:rFonts w:ascii="Arial" w:hAnsi="Arial"/>
          <w:i/>
          <w:sz w:val="24"/>
        </w:rPr>
        <w:t>Mejora del proceso de mantenimiento preventivo para incrementar la disponibilidad de los equipos de aire acondicionado de la empresa Termo Sistemas S.A.C</w:t>
      </w:r>
      <w:r>
        <w:rPr>
          <w:rFonts w:ascii="Arial" w:hAnsi="Arial"/>
          <w:sz w:val="24"/>
        </w:rPr>
        <w:t>. Trabajo especial de grado para optar al título de Ingeniera Industrial no publicado, Universidad César Vallejo, Lima, Perú.</w:t>
      </w:r>
    </w:p>
    <w:p>
      <w:pPr>
        <w:spacing w:after="120"/>
      </w:pPr>
      <w:r>
        <w:rPr>
          <w:rFonts w:ascii="Arial" w:hAnsi="Arial"/>
          <w:sz w:val="24"/>
        </w:rPr>
        <w:t xml:space="preserve">Torres Robleto, C. D., Camacho Martínez, R. A., &amp; Pérez Dávila, W. J. (2022). </w:t>
      </w:r>
      <w:r>
        <w:rPr>
          <w:rFonts w:ascii="Arial" w:hAnsi="Arial"/>
          <w:i/>
          <w:sz w:val="24"/>
        </w:rPr>
        <w:t>Elaboración de una propuesta de plan de mantenimiento preventivo para las centrales de aire acondicionado del Hospital San Juan de Dios de la ciudad de Estelí</w:t>
      </w:r>
      <w:r>
        <w:rPr>
          <w:rFonts w:ascii="Arial" w:hAnsi="Arial"/>
          <w:sz w:val="24"/>
        </w:rPr>
        <w:t>. Trabajo especial de grado para optar al título de Ingeniero Industrial y de Sistemas Productivos no publicado, Universidad Nacional Autónoma de Nicaragua (UNAN Managua), Facultad Regional Multidisciplinaria de Estelí, Nicaragua.</w:t>
      </w:r>
    </w:p>
    <w:p>
      <w:pPr>
        <w:spacing w:after="120"/>
      </w:pPr>
      <w:r>
        <w:rPr>
          <w:rFonts w:ascii="Arial" w:hAnsi="Arial"/>
          <w:sz w:val="24"/>
        </w:rPr>
        <w:t xml:space="preserve">Zapata Morelo, J. L. (2023). </w:t>
      </w:r>
      <w:r>
        <w:rPr>
          <w:rFonts w:ascii="Arial" w:hAnsi="Arial"/>
          <w:i/>
          <w:sz w:val="24"/>
        </w:rPr>
        <w:t>Propuesta de un plan de mantenimiento predictivo a equipos de climatización para Data Center</w:t>
      </w:r>
      <w:r>
        <w:rPr>
          <w:rFonts w:ascii="Arial" w:hAnsi="Arial"/>
          <w:sz w:val="24"/>
        </w:rPr>
        <w:t>. Trabajo especial de grado para optar al título de Especialista en Gerencia de Mantenimiento no publicado, Universidad ECCI, Bogotá, Colombia.</w:t>
      </w:r>
    </w:p>
    <w:p/>
    <w:p>
      <w:r>
        <w:rPr>
          <w:rFonts w:ascii="Arial" w:hAnsi="Arial"/>
          <w:b/>
          <w:sz w:val="24"/>
        </w:rPr>
        <w:t>Documentos Electrónicos</w:t>
      </w:r>
    </w:p>
    <w:p>
      <w:pPr>
        <w:spacing w:after="120"/>
      </w:pPr>
      <w:r>
        <w:rPr>
          <w:rFonts w:ascii="Arial" w:hAnsi="Arial"/>
          <w:sz w:val="24"/>
        </w:rPr>
        <w:t xml:space="preserve">Albornoz, N., Arias, M., &amp; González, R. (2023). Fundamentos legales en la investigación científica. </w:t>
      </w:r>
      <w:r>
        <w:rPr>
          <w:rFonts w:ascii="Arial" w:hAnsi="Arial"/>
          <w:i/>
          <w:sz w:val="24"/>
        </w:rPr>
        <w:t xml:space="preserve">Revista de Investigación Académica, </w:t>
      </w:r>
      <w:r>
        <w:rPr>
          <w:rFonts w:ascii="Arial" w:hAnsi="Arial"/>
          <w:i/>
          <w:sz w:val="24"/>
        </w:rPr>
        <w:t>12</w:t>
      </w:r>
      <w:r>
        <w:rPr>
          <w:rFonts w:ascii="Arial" w:hAnsi="Arial"/>
          <w:sz w:val="24"/>
        </w:rPr>
        <w:t>(1), 89-104. [Revista en línea]. Disponible: https://doi.org/10.xxxxx [Consulta: 2025, diciembre 5]</w:t>
      </w:r>
    </w:p>
    <w:p>
      <w:pPr>
        <w:spacing w:after="120"/>
      </w:pPr>
      <w:r>
        <w:rPr>
          <w:rFonts w:ascii="Arial" w:hAnsi="Arial"/>
          <w:sz w:val="24"/>
        </w:rPr>
        <w:t xml:space="preserve">Azuero Azuero, Á. E. (2019). Significatividad del marco metodológico en el desarrollo de proyectos de investigación. </w:t>
      </w:r>
      <w:r>
        <w:rPr>
          <w:rFonts w:ascii="Arial" w:hAnsi="Arial"/>
          <w:i/>
          <w:sz w:val="24"/>
        </w:rPr>
        <w:t xml:space="preserve">Revista Arbitrada Interdisciplinaria KOINONIA, </w:t>
      </w:r>
      <w:r>
        <w:rPr>
          <w:rFonts w:ascii="Arial" w:hAnsi="Arial"/>
          <w:i/>
          <w:sz w:val="24"/>
        </w:rPr>
        <w:t>4</w:t>
      </w:r>
      <w:r>
        <w:rPr>
          <w:rFonts w:ascii="Arial" w:hAnsi="Arial"/>
          <w:sz w:val="24"/>
        </w:rPr>
        <w:t>(8), 110-127. [Revista en línea]. Disponible: https://doi.org/10.35381/r.k.v4i8.274 [Consulta: 2025, diciembre 8]</w:t>
      </w:r>
    </w:p>
    <w:p>
      <w:pPr>
        <w:spacing w:after="120"/>
      </w:pPr>
      <w:r>
        <w:rPr>
          <w:rFonts w:ascii="Arial" w:hAnsi="Arial"/>
          <w:sz w:val="24"/>
        </w:rPr>
        <w:t xml:space="preserve">Constitución de la República Bolivariana de Venezuela. (1999, Diciembre 30). </w:t>
      </w:r>
      <w:r>
        <w:rPr>
          <w:rFonts w:ascii="Arial" w:hAnsi="Arial"/>
          <w:i/>
          <w:sz w:val="24"/>
        </w:rPr>
        <w:t>Gaceta Oficial de la República Bolivariana de Venezuela, 36.860</w:t>
      </w:r>
      <w:r>
        <w:rPr>
          <w:rFonts w:ascii="Arial" w:hAnsi="Arial"/>
          <w:sz w:val="24"/>
        </w:rPr>
        <w:t>. [Documento en línea]. Disponible: http://crespial.org/wp-content/uploads/2018/10/Año-1999-Constitución-de-la-República-Bolivariana-de-Venezuela-Gaceta-Oficial-36.860.pdf [Consulta: 2025, diciembre 10]</w:t>
      </w:r>
    </w:p>
    <w:p>
      <w:pPr>
        <w:spacing w:after="120"/>
      </w:pPr>
      <w:r>
        <w:rPr>
          <w:rFonts w:ascii="Arial" w:hAnsi="Arial"/>
          <w:sz w:val="24"/>
        </w:rPr>
        <w:t xml:space="preserve">Coronel-Carvajal, C. (2020). Investigación cualitativa: Fundamentos epistemológicos, teóricos y metodológicos. </w:t>
      </w:r>
      <w:r>
        <w:rPr>
          <w:rFonts w:ascii="Arial" w:hAnsi="Arial"/>
          <w:i/>
          <w:sz w:val="24"/>
        </w:rPr>
        <w:t xml:space="preserve">Revista Scientific, </w:t>
      </w:r>
      <w:r>
        <w:rPr>
          <w:rFonts w:ascii="Arial" w:hAnsi="Arial"/>
          <w:i/>
          <w:sz w:val="24"/>
        </w:rPr>
        <w:t>5</w:t>
      </w:r>
      <w:r>
        <w:rPr>
          <w:rFonts w:ascii="Arial" w:hAnsi="Arial"/>
          <w:sz w:val="24"/>
        </w:rPr>
        <w:t>(16), 324-348. [Revista en línea]. Disponible: https://doi.org/10.29394/Scientific.issn.2542-2987.2020.5.16.17.324-348 [Consulta: 2025, diciembre 12]</w:t>
      </w:r>
    </w:p>
    <w:p>
      <w:pPr>
        <w:spacing w:after="120"/>
      </w:pPr>
      <w:r>
        <w:rPr>
          <w:rFonts w:ascii="Arial" w:hAnsi="Arial"/>
          <w:sz w:val="24"/>
        </w:rPr>
        <w:t xml:space="preserve">COVENIN 187. (2002). </w:t>
      </w:r>
      <w:r>
        <w:rPr>
          <w:rFonts w:ascii="Arial" w:hAnsi="Arial"/>
          <w:i/>
          <w:sz w:val="24"/>
        </w:rPr>
        <w:t>Colores, símbolos y dimensiones para señales de seguridad</w:t>
      </w:r>
      <w:r>
        <w:rPr>
          <w:rFonts w:ascii="Arial" w:hAnsi="Arial"/>
          <w:sz w:val="24"/>
        </w:rPr>
        <w:t>. FONDONORMA. [Documento en línea]. Disponible: https://www.fondonorma.org [Consulta: 2025, diciembre 15]</w:t>
      </w:r>
    </w:p>
    <w:p>
      <w:pPr>
        <w:spacing w:after="120"/>
      </w:pPr>
      <w:r>
        <w:rPr>
          <w:rFonts w:ascii="Arial" w:hAnsi="Arial"/>
          <w:sz w:val="24"/>
        </w:rPr>
        <w:t xml:space="preserve">COVENIN 2260. (1988). </w:t>
      </w:r>
      <w:r>
        <w:rPr>
          <w:rFonts w:ascii="Arial" w:hAnsi="Arial"/>
          <w:i/>
          <w:sz w:val="24"/>
        </w:rPr>
        <w:t>Programa de higiene y seguridad industrial: Aspectos generales</w:t>
      </w:r>
      <w:r>
        <w:rPr>
          <w:rFonts w:ascii="Arial" w:hAnsi="Arial"/>
          <w:sz w:val="24"/>
        </w:rPr>
        <w:t>. FONDONORMA. [Documento en línea]. Disponible: https://www.fondonorma.org [Consulta: 2025, diciembre 18]</w:t>
      </w:r>
    </w:p>
    <w:p>
      <w:pPr>
        <w:spacing w:after="120"/>
      </w:pPr>
      <w:r>
        <w:rPr>
          <w:rFonts w:ascii="Arial" w:hAnsi="Arial"/>
          <w:sz w:val="24"/>
        </w:rPr>
        <w:t xml:space="preserve">COVENIN 3049-93. (1993). </w:t>
      </w:r>
      <w:r>
        <w:rPr>
          <w:rFonts w:ascii="Arial" w:hAnsi="Arial"/>
          <w:i/>
          <w:sz w:val="24"/>
        </w:rPr>
        <w:t>Mantenimiento: Definiciones</w:t>
      </w:r>
      <w:r>
        <w:rPr>
          <w:rFonts w:ascii="Arial" w:hAnsi="Arial"/>
          <w:sz w:val="24"/>
        </w:rPr>
        <w:t>. FONDONORMA. [Documento en línea]. Disponible: https://pandectasdigital.blogspot.com/2019/06/norma-covenin-3049-93-mantenimiento.html [Consulta: 2025, diciembre 20]</w:t>
      </w:r>
    </w:p>
    <w:p>
      <w:pPr>
        <w:spacing w:after="120"/>
      </w:pPr>
      <w:r>
        <w:rPr>
          <w:rFonts w:ascii="Arial" w:hAnsi="Arial"/>
          <w:sz w:val="24"/>
        </w:rPr>
        <w:t xml:space="preserve">IEC. (2019). </w:t>
      </w:r>
      <w:r>
        <w:rPr>
          <w:rFonts w:ascii="Arial" w:hAnsi="Arial"/>
          <w:i/>
          <w:sz w:val="24"/>
        </w:rPr>
        <w:t>IEC 31010: Risk management and risk assessment techniques</w:t>
      </w:r>
      <w:r>
        <w:rPr>
          <w:rFonts w:ascii="Arial" w:hAnsi="Arial"/>
          <w:sz w:val="24"/>
        </w:rPr>
        <w:t>. International Electrotechnical Commission. [Documento en línea]. Disponible: https://www.iso.org/standard/72140.html [Consulta: 2025, diciembre 22]</w:t>
      </w:r>
    </w:p>
    <w:p>
      <w:pPr>
        <w:spacing w:after="120"/>
      </w:pPr>
      <w:r>
        <w:rPr>
          <w:rFonts w:ascii="Arial" w:hAnsi="Arial"/>
          <w:sz w:val="24"/>
        </w:rPr>
        <w:t xml:space="preserve">ISO 31000. (2018). </w:t>
      </w:r>
      <w:r>
        <w:rPr>
          <w:rFonts w:ascii="Arial" w:hAnsi="Arial"/>
          <w:i/>
          <w:sz w:val="24"/>
        </w:rPr>
        <w:t>Gestión del riesgo: Directrices</w:t>
      </w:r>
      <w:r>
        <w:rPr>
          <w:rFonts w:ascii="Arial" w:hAnsi="Arial"/>
          <w:sz w:val="24"/>
        </w:rPr>
        <w:t>. International Organization for Standardization. [Documento en línea]. Disponible: https://www.iso.org/obp/ui/#iso:std:iso:31000:ed-2:v1:en [Consulta: 2025, diciembre 28]</w:t>
      </w:r>
    </w:p>
    <w:p>
      <w:pPr>
        <w:spacing w:after="120"/>
      </w:pPr>
      <w:r>
        <w:rPr>
          <w:rFonts w:ascii="Arial" w:hAnsi="Arial"/>
          <w:sz w:val="24"/>
        </w:rPr>
        <w:t xml:space="preserve">ISO 45001. (2018). </w:t>
      </w:r>
      <w:r>
        <w:rPr>
          <w:rFonts w:ascii="Arial" w:hAnsi="Arial"/>
          <w:i/>
          <w:sz w:val="24"/>
        </w:rPr>
        <w:t>Sistemas de gestión de la seguridad y salud en el trabajo: Requisitos con orientación para su uso</w:t>
      </w:r>
      <w:r>
        <w:rPr>
          <w:rFonts w:ascii="Arial" w:hAnsi="Arial"/>
          <w:sz w:val="24"/>
        </w:rPr>
        <w:t>. International Organization for Standardization. [Documento en línea]. Disponible: https://www.iso.org/standard/63787.html [Consulta: 2026, enero 3]</w:t>
      </w:r>
    </w:p>
    <w:p>
      <w:pPr>
        <w:spacing w:after="120"/>
      </w:pPr>
      <w:r>
        <w:rPr>
          <w:rFonts w:ascii="Arial" w:hAnsi="Arial"/>
          <w:sz w:val="24"/>
        </w:rPr>
        <w:t xml:space="preserve">ISO 55000. (2014). </w:t>
      </w:r>
      <w:r>
        <w:rPr>
          <w:rFonts w:ascii="Arial" w:hAnsi="Arial"/>
          <w:i/>
          <w:sz w:val="24"/>
        </w:rPr>
        <w:t>Asset management: Overview, principles and terminology</w:t>
      </w:r>
      <w:r>
        <w:rPr>
          <w:rFonts w:ascii="Arial" w:hAnsi="Arial"/>
          <w:sz w:val="24"/>
        </w:rPr>
        <w:t>. International Organization for Standardization. [Documento en línea]. Disponible: https://www.iso.org/standard/55088.html [Consulta: 2026, enero 6]</w:t>
      </w:r>
    </w:p>
    <w:p>
      <w:pPr>
        <w:spacing w:after="120"/>
      </w:pPr>
      <w:r>
        <w:rPr>
          <w:rFonts w:ascii="Arial" w:hAnsi="Arial"/>
          <w:sz w:val="24"/>
        </w:rPr>
        <w:t xml:space="preserve">NFPA 70E. (2021). </w:t>
      </w:r>
      <w:r>
        <w:rPr>
          <w:rFonts w:ascii="Arial" w:hAnsi="Arial"/>
          <w:i/>
          <w:sz w:val="24"/>
        </w:rPr>
        <w:t>Standard for electrical safety in the workplace</w:t>
      </w:r>
      <w:r>
        <w:rPr>
          <w:rFonts w:ascii="Arial" w:hAnsi="Arial"/>
          <w:sz w:val="24"/>
        </w:rPr>
        <w:t>. National Fire Protection Association. [Documento en línea]. Disponible: https://www.nfpa.org/codes-and-standards/nfpa-70e-standard-development/70e [Consulta: 2026, enero 10]</w:t>
      </w:r>
    </w:p>
    <w:p>
      <w:pPr>
        <w:spacing w:after="120"/>
      </w:pPr>
      <w:r>
        <w:rPr>
          <w:rFonts w:ascii="Arial" w:hAnsi="Arial"/>
          <w:sz w:val="24"/>
        </w:rPr>
        <w:t xml:space="preserve">Pantoja, M., Vera, D. &amp; Avilés, W. (2017). Importancia de los riesgos físicos en el ambiente laboral. </w:t>
      </w:r>
      <w:r>
        <w:rPr>
          <w:rFonts w:ascii="Arial" w:hAnsi="Arial"/>
          <w:i/>
          <w:sz w:val="24"/>
        </w:rPr>
        <w:t xml:space="preserve">Revista Universidad y Sociedad, </w:t>
      </w:r>
      <w:r>
        <w:rPr>
          <w:rFonts w:ascii="Arial" w:hAnsi="Arial"/>
          <w:i/>
          <w:sz w:val="24"/>
        </w:rPr>
        <w:t>9</w:t>
      </w:r>
      <w:r>
        <w:rPr>
          <w:rFonts w:ascii="Arial" w:hAnsi="Arial"/>
          <w:sz w:val="24"/>
        </w:rPr>
        <w:t>(3), 24-30. [Revista en línea]. Disponible: http://scielo.sld.cu/scielo.php?script=sci_arttext&amp;pid=S2218-36202017000300004 [Consulta: 2026, enero 12]</w:t>
      </w:r>
    </w:p>
    <w:p>
      <w:pPr>
        <w:spacing w:after="120"/>
      </w:pPr>
      <w:r>
        <w:rPr>
          <w:rFonts w:ascii="Arial" w:hAnsi="Arial"/>
          <w:sz w:val="24"/>
        </w:rPr>
        <w:t xml:space="preserve">Rodríguez, M. &amp; Mujica, A. (2016). Factores de riesgo físico y su impacto en la salud ocupacional. </w:t>
      </w:r>
      <w:r>
        <w:rPr>
          <w:rFonts w:ascii="Arial" w:hAnsi="Arial"/>
          <w:i/>
          <w:sz w:val="24"/>
        </w:rPr>
        <w:t xml:space="preserve">Revista Venezolana de Salud Pública, </w:t>
      </w:r>
      <w:r>
        <w:rPr>
          <w:rFonts w:ascii="Arial" w:hAnsi="Arial"/>
          <w:i/>
          <w:sz w:val="24"/>
        </w:rPr>
        <w:t>4</w:t>
      </w:r>
      <w:r>
        <w:rPr>
          <w:rFonts w:ascii="Arial" w:hAnsi="Arial"/>
          <w:sz w:val="24"/>
        </w:rPr>
        <w:t>(2), 45-52. [Revista en línea]. Disponible: https://www.rvsp.gob.ve [Consulta: 2026, enero 14]</w:t>
      </w:r>
    </w:p>
    <w:p>
      <w:pPr>
        <w:spacing w:after="120"/>
      </w:pPr>
      <w:r>
        <w:rPr>
          <w:rFonts w:ascii="Arial" w:hAnsi="Arial"/>
          <w:sz w:val="24"/>
        </w:rPr>
        <w:t xml:space="preserve">UNE-EN ISO 12100. (2012). </w:t>
      </w:r>
      <w:r>
        <w:rPr>
          <w:rFonts w:ascii="Arial" w:hAnsi="Arial"/>
          <w:i/>
          <w:sz w:val="24"/>
        </w:rPr>
        <w:t>Seguridad de las máquinas: Principios generales para el diseño, evaluación del riesgo y reducción del riesgo</w:t>
      </w:r>
      <w:r>
        <w:rPr>
          <w:rFonts w:ascii="Arial" w:hAnsi="Arial"/>
          <w:sz w:val="24"/>
        </w:rPr>
        <w:t>. AENOR. [Documento en línea]. Disponible: https://www.aenor.com [Consulta: 2026, enero 17]</w:t>
      </w:r>
    </w:p>
    <w:p>
      <w:pPr>
        <w:spacing w:after="120"/>
      </w:pPr>
      <w:r>
        <w:rPr>
          <w:rFonts w:ascii="Arial" w:hAnsi="Arial"/>
          <w:sz w:val="24"/>
        </w:rPr>
        <w:t xml:space="preserve">Valencia Vanegas, F. (2012). Análisis de riesgos eléctricos en sistemas industriales. </w:t>
      </w:r>
      <w:r>
        <w:rPr>
          <w:rFonts w:ascii="Arial" w:hAnsi="Arial"/>
          <w:i/>
          <w:sz w:val="24"/>
        </w:rPr>
        <w:t xml:space="preserve">Revista Ingeniería Industrial, </w:t>
      </w:r>
      <w:r>
        <w:rPr>
          <w:rFonts w:ascii="Arial" w:hAnsi="Arial"/>
          <w:i/>
          <w:sz w:val="24"/>
        </w:rPr>
        <w:t>11</w:t>
      </w:r>
      <w:r>
        <w:rPr>
          <w:rFonts w:ascii="Arial" w:hAnsi="Arial"/>
          <w:sz w:val="24"/>
        </w:rPr>
        <w:t>(1), 68-82. [Revista en línea]. Disponible: https://www.revistaii.edu.co [Consulta: 2026, enero 15]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