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INFORME FINAL DE AUDITORÍA INFORMÁTICA</w:t>
      </w:r>
    </w:p>
    <w:p>
      <w:pPr>
        <w:jc w:val="center"/>
      </w:pPr>
      <w:r>
        <w:rPr>
          <w:rFonts w:ascii="Arial" w:hAnsi="Arial"/>
          <w:sz w:val="24"/>
        </w:rPr>
        <w:t>Departamento de Infraestructura de Red y Comunicaciones</w:t>
      </w:r>
    </w:p>
    <w:p>
      <w:pPr>
        <w:jc w:val="center"/>
      </w:pPr>
      <w:r>
        <w:rPr>
          <w:rFonts w:ascii="Arial" w:hAnsi="Arial"/>
          <w:i/>
          <w:sz w:val="24"/>
        </w:rPr>
        <w:t>TeleNET Solutions C.A.</w:t>
      </w:r>
    </w:p>
    <w:p/>
    <w:p>
      <w:pPr>
        <w:spacing w:line="360" w:lineRule="auto"/>
        <w:jc w:val="both"/>
      </w:pPr>
      <w:r>
        <w:rPr>
          <w:rFonts w:ascii="Arial" w:hAnsi="Arial"/>
          <w:sz w:val="24"/>
        </w:rPr>
        <w:t>El presente informe corresponde a la auditoría informática realizada al Departamento de Infraestructura de Red y Comunicaciones de TeleNET Solutions C.A., sede Caracas, ejecutada del 03 al 07 de febrero de 2026 por el equipo auditor conformado por Víctor Ysea como líder, María Yoris, Fiorella David y Juan Marcano. Durante el proceso se entrevistó al personal clave del área, incluyendo a Carlos Mendoza (Gerente de Infraestructura), Roberto Fernández (Coordinador de Administración de Red), Ana Martínez (Coordinadora de Data Center), Luis Pérez (Coordinador de Seguridad de Red) y Carmen Díaz (Analista de Seguridad).</w:t>
      </w:r>
    </w:p>
    <w:p>
      <w:pPr>
        <w:spacing w:line="360" w:lineRule="auto"/>
        <w:jc w:val="both"/>
      </w:pPr>
      <w:r>
        <w:rPr>
          <w:rFonts w:ascii="Arial" w:hAnsi="Arial"/>
          <w:sz w:val="24"/>
        </w:rPr>
        <w:t>La evaluación abarcó los controles de seguridad de la información, infraestructura tecnológica, controles internos, cumplimiento normativo y eficiencia operativa, utilizando como período de muestreo la semana del 06 al 10 de enero de 2026. El objetivo principal fue verificar que los recursos informáticos del área son adecuadamente utilizados, coordinados y vigilados, identificando vulnerabilidades y evaluando la capacidad de respuesta y continuidad operativa ante incidentes.</w:t>
      </w:r>
    </w:p>
    <w:p>
      <w:pPr>
        <w:spacing w:line="360" w:lineRule="auto"/>
        <w:jc w:val="both"/>
      </w:pPr>
      <w:r>
        <w:rPr>
          <w:rFonts w:ascii="Arial" w:hAnsi="Arial"/>
          <w:sz w:val="24"/>
        </w:rPr>
        <w:t>Como resultado del trabajo de campo se identificaron seis hallazgos significativos. El más crítico corresponde a la ausencia de pruebas de restauración de respaldos, evidenciándose que no se ejecutan desde hace ocho meses, incumpliendo la política interna de pruebas mensuales. Adicionalmente, se detectó que la licencia de la herramienta de escaneo de vulnerabilidades Nessus se encuentra vencida desde hace tres meses, el firmware de los equipos de red Cisco está desactualizado por más de dos años con vulnerabilidades conocidas sin parchar, una de las dos unidades UPS del Data Center no ha recibido mantenimiento preventivo en dieciocho meses, se ejecutaron cambios a la infraestructura sin aprobación formal ni documentación previa, y dos servidores HP ProLiant continúan en producción sin soporte del fabricante.</w:t>
      </w:r>
    </w:p>
    <w:p>
      <w:pPr>
        <w:spacing w:line="360" w:lineRule="auto"/>
        <w:jc w:val="both"/>
      </w:pPr>
      <w:r>
        <w:rPr>
          <w:rFonts w:ascii="Arial" w:hAnsi="Arial"/>
          <w:sz w:val="24"/>
        </w:rPr>
        <w:t>El equipo auditor concluye que el área presenta deficiencias significativas en sus controles, con tres de cinco áreas evaluadas calificadas como deficientes y dos como parcialmente conformes. Es relevante señalar que dos recomendaciones de la auditoría realizada en febrero de 2024 no fueron implementadas, específicamente las relacionadas con pruebas de respaldos y actualización de firmware, lo cual evidencia debilidades en el seguimiento a las acciones correctivas.</w:t>
      </w:r>
    </w:p>
    <w:p>
      <w:pPr>
        <w:spacing w:line="360" w:lineRule="auto"/>
        <w:jc w:val="both"/>
      </w:pPr>
      <w:r>
        <w:rPr>
          <w:rFonts w:ascii="Arial" w:hAnsi="Arial"/>
          <w:sz w:val="24"/>
        </w:rPr>
        <w:t>Se recomienda implementar de manera inmediata un programa de pruebas de restauración de respaldos con frecuencia mensual y ejecutar el mantenimiento preventivo de las unidades UPS. En un plazo de quince días debe gestionarse la renovación de la licencia de Nessus o evaluar una alternativa. El plan de actualización de firmware debe elaborarse en treinta días, y el plan de migración de los servidores obsoletos debe presentarse en un plazo máximo de sesenta días. El Gerente de Infraestructura debe reforzar el cumplimiento del procedimiento de gestión de cambios para todas las modificaciones. El seguimiento a la implementación de estas recomendaciones se realizará en noventa días.</w:t>
      </w:r>
    </w:p>
    <w:p/>
    <w:p/>
    <w:p>
      <w:pPr>
        <w:jc w:val="center"/>
      </w:pPr>
      <w:r>
        <w:rPr>
          <w:rFonts w:ascii="Arial" w:hAnsi="Arial"/>
        </w:rPr>
        <w:t>____________________________                    ____________________________</w:t>
      </w:r>
    </w:p>
    <w:p>
      <w:pPr>
        <w:jc w:val="center"/>
      </w:pPr>
      <w:r>
        <w:rPr>
          <w:rFonts w:ascii="Arial" w:hAnsi="Arial"/>
          <w:sz w:val="24"/>
        </w:rPr>
        <w:t>Víctor Ysea                                                      Carlos Mendoza</w:t>
      </w:r>
    </w:p>
    <w:p>
      <w:pPr>
        <w:jc w:val="center"/>
      </w:pPr>
      <w:r>
        <w:rPr>
          <w:rFonts w:ascii="Arial" w:hAnsi="Arial"/>
          <w:sz w:val="22"/>
        </w:rPr>
        <w:t>Líder del Equipo Auditor                                   Gerente de Infraestructura</w:t>
      </w:r>
    </w:p>
    <w:p>
      <w:pPr>
        <w:jc w:val="center"/>
      </w:pPr>
      <w:r>
        <w:rPr>
          <w:rFonts w:ascii="Arial" w:hAnsi="Arial"/>
          <w:sz w:val="22"/>
        </w:rPr>
        <w:t>Caracas, 07 de febrero de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