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ag12ccr44ks" w:id="0"/>
      <w:bookmarkEnd w:id="0"/>
      <w:r w:rsidDel="00000000" w:rsidR="00000000" w:rsidRPr="00000000">
        <w:rPr>
          <w:rtl w:val="0"/>
        </w:rPr>
        <w:t xml:space="preserve">Documento de planificación de la usabilidad y accesibilidad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World Wide Web Consortium tiene publicado el WCAG 2.1, una revisión de su guía Web Content Accessibility Guidelines, en la que nos proporciona una serie de pautas de accesibilidad que debemos mantener para conseguir una web o aplicación accesible para todos. Siguiendo estas recomendaciones: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ibjv4uxda9rh" w:id="1"/>
      <w:bookmarkEnd w:id="1"/>
      <w:r w:rsidDel="00000000" w:rsidR="00000000" w:rsidRPr="00000000">
        <w:rPr>
          <w:rtl w:val="0"/>
        </w:rPr>
        <w:t xml:space="preserve">Perceptible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Todos los contenidos no textuales, tendrán una alternativa textual.</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El contenido se presentará de diversas formas (texto, audio, vídeo y foto).</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Las horas se podrán mostrar tanto en formato analógico como digital.</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Los colores tendrán un sentido más allá de la estética, indicarán una acción, un indicativo de que hemos realizado una acción, o para distinguir elementos visuales.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Los botones tendrán un texto que además intentará ser declarativo de la acción que se va a realizar al pulsarlo. Por ejemplo "Pulsar Aceptar" en lugar de "Aceptar".</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El tamaño de la fuente podrá ser modificado con facilidad, el tamaño por defecto será suficientemente grande.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Las imágenes y pictogramas podrán ampliarse de manera fácil e intuitiva, permitiendo así que todos puedan verlo con claridad.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x7aklka6tgjm" w:id="2"/>
      <w:bookmarkEnd w:id="2"/>
      <w:r w:rsidDel="00000000" w:rsidR="00000000" w:rsidRPr="00000000">
        <w:rPr>
          <w:rtl w:val="0"/>
        </w:rPr>
        <w:t xml:space="preserve">Operable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Se proporcionará, en todas las pantallas, botones para ver más contenido de la página, sustituyendo la barra de scroll.</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Todo el contenido que se muestra en la pantalla permanecerá visible a menos que el usuario decida cambiar de pantalla, evitando así que el contenido desaparezca de la pantalla antes de que el usuario así lo decida.</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Introducción de diferentes métodos de entrada más allá de un teclado.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70acqq4uyfkl" w:id="3"/>
      <w:bookmarkEnd w:id="3"/>
      <w:r w:rsidDel="00000000" w:rsidR="00000000" w:rsidRPr="00000000">
        <w:rPr>
          <w:rtl w:val="0"/>
        </w:rPr>
        <w:t xml:space="preserve">Comprensible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El texto tendrá un contraste suficiente para que pueda ser leído con facilidad.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El lenguaje utilizado será sencillo e intuitivo para que todo el mundo pueda comprenderlo.</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El contenido debe ser predecible en apariencia y operación.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Se ayudará al usuario a evitar y corregir errores, por ejemplo a la hora de tomar la comanda de menús, podrá cambiar el plato seleccionado con facilidad.</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