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0" w:after="130"/>
        <w:jc w:val="center"/>
      </w:pPr>
      <w:r>
        <w:rPr>
          <w:rFonts w:ascii="Times New Roman" w:cs="Times New Roman" w:eastAsia="Times New Roman" w:hAnsi="Times New Roman"/>
          <w:b/>
          <w:bCs/>
          <w:color w:val="1B2A4A"/>
          <w:sz w:val="36"/>
          <w:szCs w:val="36"/>
        </w:rPr>
        <w:t xml:space="preserve">CARBON DERIVATIVES</w:t>
      </w:r>
    </w:p>
    <w:p>
      <w:pPr>
        <w:spacing w:before="0" w:after="130"/>
        <w:jc w:val="center"/>
      </w:pPr>
      <w:r>
        <w:rPr>
          <w:rFonts w:ascii="Times New Roman" w:cs="Times New Roman" w:eastAsia="Times New Roman" w:hAnsi="Times New Roman"/>
          <w:b/>
          <w:bCs/>
          <w:color w:val="1B2A4A"/>
          <w:sz w:val="36"/>
          <w:szCs w:val="36"/>
        </w:rPr>
        <w:t xml:space="preserve">MASTER AGREEMENT</w:t>
      </w:r>
    </w:p>
    <w:p>
      <w:pPr>
        <w:pBdr>
          <w:bottom w:val="single" w:color="2E75B6" w:sz="4" w:space="10"/>
        </w:pBdr>
        <w:spacing w:before="100"/>
        <w:jc w:val="center"/>
      </w:pPr>
      <w:r>
        <w:rPr>
          <w:sz w:val="12"/>
          <w:szCs w:val="12"/>
        </w:rPr>
        <w:t xml:space="preserve"> </w:t>
      </w:r>
    </w:p>
    <w:p>
      <w:pPr>
        <w:spacing w:before="200" w:after="130"/>
        <w:jc w:val="center"/>
      </w:pPr>
      <w:r>
        <w:rPr>
          <w:rFonts w:ascii="Times New Roman" w:cs="Times New Roman" w:eastAsia="Times New Roman" w:hAnsi="Times New Roman"/>
          <w:i/>
          <w:iCs/>
          <w:color w:val="666666"/>
          <w:sz w:val="20"/>
          <w:szCs w:val="20"/>
        </w:rPr>
        <w:t xml:space="preserve">(Incorporating applicable industry-standard carbon credit definitions and IETA ERPA Provisions)</w:t>
      </w:r>
    </w:p>
    <w:p>
      <w:pPr>
        <w:spacing w:before="600"/>
      </w:pPr>
    </w:p>
    <w:tbl>
      <w:tblPr>
        <w:tblW w:type="pct" w:w="65%"/>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Agreement Reference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NIHA-CDMA-2026-001</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Version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1.0</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Effective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 January 2026</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 Carbon Consultancy Limited</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Registration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Hong Kong CR No. 3187452</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B</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[Counterparty Name — as per Confirmation]</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Governing Law</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Laws of Hong Kong SAR</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Dispute Resolution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HKIAC Arbitration Rules</w:t>
            </w:r>
          </w:p>
        </w:tc>
      </w:tr>
    </w:tbl>
    <w:p>
      <w:pPr>
        <w:spacing w:before="600"/>
        <w:jc w:val="center"/>
      </w:pPr>
      <w:r>
        <w:rPr>
          <w:rFonts w:ascii="Times New Roman" w:cs="Times New Roman" w:eastAsia="Times New Roman" w:hAnsi="Times New Roman"/>
          <w:i/>
          <w:iCs/>
          <w:color w:val="666666"/>
          <w:sz w:val="20"/>
          <w:szCs w:val="20"/>
        </w:rPr>
        <w:t xml:space="preserve">This Agreement is entered into between the parties for the purpose of governing bilateral transactions in carbon credits, emission allowances, and related environmental instruments.</w:t>
      </w:r>
    </w:p>
    <w:p>
      <w:r>
        <w:br w:type="page"/>
      </w:r>
    </w:p>
    <w:p>
      <w:pPr>
        <w:spacing w:before="400" w:after="200"/>
      </w:pPr>
      <w:r>
        <w:rPr>
          <w:rFonts w:ascii="Times New Roman" w:cs="Times New Roman" w:eastAsia="Times New Roman" w:hAnsi="Times New Roman"/>
          <w:b/>
          <w:bCs/>
          <w:caps/>
          <w:color w:val="1B2A4A"/>
          <w:sz w:val="24"/>
          <w:szCs w:val="24"/>
        </w:rPr>
        <w:t xml:space="preserve">ARTICLE 1 — INTERPRETATION AND DEFINITIONS</w:t>
      </w:r>
    </w:p>
    <w:p>
      <w:pPr>
        <w:spacing w:before="200" w:after="130"/>
        <w:ind w:left="360"/>
      </w:pPr>
      <w:r>
        <w:rPr>
          <w:rFonts w:ascii="Times New Roman" w:cs="Times New Roman" w:eastAsia="Times New Roman" w:hAnsi="Times New Roman"/>
          <w:b/>
          <w:bCs/>
          <w:color w:val="2E75B6"/>
          <w:sz w:val="22"/>
          <w:szCs w:val="22"/>
        </w:rPr>
        <w:t xml:space="preserve">1.1 </w:t>
      </w:r>
      <w:r>
        <w:rPr>
          <w:rFonts w:ascii="Times New Roman" w:cs="Times New Roman" w:eastAsia="Times New Roman" w:hAnsi="Times New Roman"/>
          <w:color w:val="333333"/>
          <w:sz w:val="22"/>
          <w:szCs w:val="22"/>
        </w:rPr>
        <w:t xml:space="preserve">In this Agreement, unless the context otherwise requires:</w:t>
      </w:r>
    </w:p>
    <w:p>
      <w:pPr>
        <w:spacing w:before="0" w:after="130"/>
        <w:ind w:left="720"/>
      </w:pPr>
      <w:r>
        <w:rPr>
          <w:rFonts w:ascii="Times New Roman" w:cs="Times New Roman" w:eastAsia="Times New Roman" w:hAnsi="Times New Roman"/>
          <w:color w:val="333333"/>
          <w:sz w:val="22"/>
          <w:szCs w:val="22"/>
        </w:rPr>
        <w:t xml:space="preserve">"Allowance" means any unit representing the right to emit one tonne of carbon dioxide equivalent (whole units) issued under an Emissions Trading Scheme, including but not limited to EUA, CEA, and any successor or equivalent instruments;</w:t>
      </w:r>
    </w:p>
    <w:p>
      <w:pPr>
        <w:spacing w:before="0" w:after="130"/>
        <w:ind w:left="720"/>
      </w:pPr>
      <w:r>
        <w:rPr>
          <w:rFonts w:ascii="Times New Roman" w:cs="Times New Roman" w:eastAsia="Times New Roman" w:hAnsi="Times New Roman"/>
          <w:color w:val="333333"/>
          <w:sz w:val="22"/>
          <w:szCs w:val="22"/>
        </w:rPr>
        <w:t xml:space="preserve">"Business Day" means a day (other than a Saturday, Sunday, or public holiday) on which banks are open for general business in Hong Kong and, if relevant to the Transaction, in the jurisdiction of the applicable Registry;</w:t>
      </w:r>
    </w:p>
    <w:p>
      <w:pPr>
        <w:spacing w:before="0" w:after="130"/>
        <w:ind w:left="720"/>
      </w:pPr>
      <w:r>
        <w:rPr>
          <w:rFonts w:ascii="Times New Roman" w:cs="Times New Roman" w:eastAsia="Times New Roman" w:hAnsi="Times New Roman"/>
          <w:color w:val="333333"/>
          <w:sz w:val="22"/>
          <w:szCs w:val="22"/>
        </w:rPr>
        <w:t xml:space="preserve">"Carbon Credit" means any Allowance or Offset Credit;</w:t>
      </w:r>
    </w:p>
    <w:p>
      <w:pPr>
        <w:spacing w:before="0" w:after="130"/>
        <w:ind w:left="720"/>
      </w:pPr>
      <w:r>
        <w:rPr>
          <w:rFonts w:ascii="Times New Roman" w:cs="Times New Roman" w:eastAsia="Times New Roman" w:hAnsi="Times New Roman"/>
          <w:color w:val="333333"/>
          <w:sz w:val="22"/>
          <w:szCs w:val="22"/>
        </w:rPr>
        <w:t xml:space="preserve">"CEEX" means the China Emissions Exchange (Shenzhen), operated by the Shenzhen Emissions Rights Exchange;</w:t>
      </w:r>
    </w:p>
    <w:p>
      <w:pPr>
        <w:spacing w:before="0" w:after="130"/>
        <w:ind w:left="720"/>
      </w:pPr>
      <w:r>
        <w:rPr>
          <w:rFonts w:ascii="Times New Roman" w:cs="Times New Roman" w:eastAsia="Times New Roman" w:hAnsi="Times New Roman"/>
          <w:color w:val="333333"/>
          <w:sz w:val="22"/>
          <w:szCs w:val="22"/>
        </w:rPr>
        <w:t xml:space="preserve">"Compliance Period" means the period designated by the relevant Emissions Trading Scheme during which an Allowance may be used for compliance;</w:t>
      </w:r>
    </w:p>
    <w:p>
      <w:pPr>
        <w:spacing w:before="0" w:after="130"/>
        <w:ind w:left="720"/>
      </w:pPr>
      <w:r>
        <w:rPr>
          <w:rFonts w:ascii="Times New Roman" w:cs="Times New Roman" w:eastAsia="Times New Roman" w:hAnsi="Times New Roman"/>
          <w:color w:val="333333"/>
          <w:sz w:val="22"/>
          <w:szCs w:val="22"/>
        </w:rPr>
        <w:t xml:space="preserve">"Confirmation" means each document, including electronic communications, exchanged between the parties confirming the terms of a Transaction entered into under this Agreement;</w:t>
      </w:r>
    </w:p>
    <w:p>
      <w:pPr>
        <w:spacing w:before="0" w:after="130"/>
        <w:ind w:left="720"/>
      </w:pPr>
      <w:r>
        <w:rPr>
          <w:rFonts w:ascii="Times New Roman" w:cs="Times New Roman" w:eastAsia="Times New Roman" w:hAnsi="Times New Roman"/>
          <w:color w:val="333333"/>
          <w:sz w:val="22"/>
          <w:szCs w:val="22"/>
        </w:rPr>
        <w:t xml:space="preserve">"Conversion Transaction" means a Transaction involving the exchange of one type of Carbon Credit for another, including cross-border CEA-to-EUA conversions;</w:t>
      </w:r>
    </w:p>
    <w:p>
      <w:pPr>
        <w:spacing w:before="0" w:after="130"/>
        <w:ind w:left="720"/>
      </w:pPr>
      <w:r>
        <w:rPr>
          <w:rFonts w:ascii="Times New Roman" w:cs="Times New Roman" w:eastAsia="Times New Roman" w:hAnsi="Times New Roman"/>
          <w:color w:val="333333"/>
          <w:sz w:val="22"/>
          <w:szCs w:val="22"/>
        </w:rPr>
        <w:t xml:space="preserve">"Delivery" means the transfer of Carbon Credits from the Delivering Party's Registry Account to the Receiving Party's Registry Account;</w:t>
      </w:r>
    </w:p>
    <w:p>
      <w:pPr>
        <w:spacing w:before="0" w:after="130"/>
        <w:ind w:left="720"/>
      </w:pPr>
      <w:r>
        <w:rPr>
          <w:rFonts w:ascii="Times New Roman" w:cs="Times New Roman" w:eastAsia="Times New Roman" w:hAnsi="Times New Roman"/>
          <w:color w:val="333333"/>
          <w:sz w:val="22"/>
          <w:szCs w:val="22"/>
        </w:rPr>
        <w:t xml:space="preserve">"Emissions Trading Scheme" or "ETS" means the EU ETS, China National ETS, Shenzhen Pilot ETS, or any other mandatory cap-and-trade programme;</w:t>
      </w:r>
    </w:p>
    <w:p>
      <w:pPr>
        <w:spacing w:before="0" w:after="130"/>
        <w:ind w:left="720"/>
      </w:pPr>
      <w:r>
        <w:rPr>
          <w:rFonts w:ascii="Times New Roman" w:cs="Times New Roman" w:eastAsia="Times New Roman" w:hAnsi="Times New Roman"/>
          <w:color w:val="333333"/>
          <w:sz w:val="22"/>
          <w:szCs w:val="22"/>
        </w:rPr>
        <w:t xml:space="preserve">"EUTL" means the European Union Transaction Log;</w:t>
      </w:r>
    </w:p>
    <w:p>
      <w:pPr>
        <w:spacing w:before="0" w:after="130"/>
        <w:ind w:left="720"/>
      </w:pPr>
      <w:r>
        <w:rPr>
          <w:rFonts w:ascii="Times New Roman" w:cs="Times New Roman" w:eastAsia="Times New Roman" w:hAnsi="Times New Roman"/>
          <w:color w:val="333333"/>
          <w:sz w:val="22"/>
          <w:szCs w:val="22"/>
        </w:rPr>
        <w:t xml:space="preserve">"Event of Default" has the meaning given in Article 10;</w:t>
      </w:r>
    </w:p>
    <w:p>
      <w:pPr>
        <w:spacing w:before="0" w:after="130"/>
        <w:ind w:left="720"/>
      </w:pPr>
      <w:r>
        <w:rPr>
          <w:rFonts w:ascii="Times New Roman" w:cs="Times New Roman" w:eastAsia="Times New Roman" w:hAnsi="Times New Roman"/>
          <w:color w:val="333333"/>
          <w:sz w:val="22"/>
          <w:szCs w:val="22"/>
        </w:rPr>
        <w:t xml:space="preserve">"HKEX Core Climate" means the Hong Kong Exchanges and Clearing Limited's Core Climate platform;</w:t>
      </w:r>
    </w:p>
    <w:p>
      <w:pPr>
        <w:spacing w:before="0" w:after="130"/>
        <w:ind w:left="720"/>
      </w:pPr>
      <w:r>
        <w:rPr>
          <w:rFonts w:ascii="Times New Roman" w:cs="Times New Roman" w:eastAsia="Times New Roman" w:hAnsi="Times New Roman"/>
          <w:color w:val="333333"/>
          <w:sz w:val="22"/>
          <w:szCs w:val="22"/>
        </w:rPr>
        <w:t xml:space="preserve">"Mark-to-Market Value" means the current market value of all outstanding Transactions calculated in accordance with Article 9;</w:t>
      </w:r>
    </w:p>
    <w:p>
      <w:pPr>
        <w:spacing w:before="0" w:after="130"/>
        <w:ind w:left="720"/>
      </w:pPr>
      <w:r>
        <w:rPr>
          <w:rFonts w:ascii="Times New Roman" w:cs="Times New Roman" w:eastAsia="Times New Roman" w:hAnsi="Times New Roman"/>
          <w:color w:val="333333"/>
          <w:sz w:val="22"/>
          <w:szCs w:val="22"/>
        </w:rPr>
        <w:t xml:space="preserve">"Offset Credit" means any unit representing a verified reduction or removal of greenhouse gas emissions, including VCU, GS-VER, and CER;</w:t>
      </w:r>
    </w:p>
    <w:p>
      <w:pPr>
        <w:spacing w:before="0" w:after="130"/>
        <w:ind w:left="720"/>
      </w:pPr>
      <w:r>
        <w:rPr>
          <w:rFonts w:ascii="Times New Roman" w:cs="Times New Roman" w:eastAsia="Times New Roman" w:hAnsi="Times New Roman"/>
          <w:color w:val="333333"/>
          <w:sz w:val="22"/>
          <w:szCs w:val="22"/>
        </w:rPr>
        <w:t xml:space="preserve">"Registry" means EUTL, CEEX, HKEX Core Climate, UNFCCC CDM Registry, Verra Registry, Gold Standard Registry, or any other carbon credit registry designated in a Confirmation;</w:t>
      </w:r>
    </w:p>
    <w:p>
      <w:pPr>
        <w:spacing w:before="0" w:after="130"/>
        <w:ind w:left="720"/>
      </w:pPr>
      <w:r>
        <w:rPr>
          <w:rFonts w:ascii="Times New Roman" w:cs="Times New Roman" w:eastAsia="Times New Roman" w:hAnsi="Times New Roman"/>
          <w:color w:val="333333"/>
          <w:sz w:val="22"/>
          <w:szCs w:val="22"/>
        </w:rPr>
        <w:t xml:space="preserve">"SAFE" means the State Administration of Foreign Exchange of the People's Republic of China;</w:t>
      </w:r>
    </w:p>
    <w:p>
      <w:pPr>
        <w:spacing w:before="0" w:after="130"/>
        <w:ind w:left="720"/>
      </w:pPr>
      <w:r>
        <w:rPr>
          <w:rFonts w:ascii="Times New Roman" w:cs="Times New Roman" w:eastAsia="Times New Roman" w:hAnsi="Times New Roman"/>
          <w:color w:val="333333"/>
          <w:sz w:val="22"/>
          <w:szCs w:val="22"/>
        </w:rPr>
        <w:t xml:space="preserve">"Settlement Amount" has the meaning given in Article 8;</w:t>
      </w:r>
    </w:p>
    <w:p>
      <w:pPr>
        <w:spacing w:before="0" w:after="130"/>
        <w:ind w:left="720"/>
      </w:pPr>
      <w:r>
        <w:rPr>
          <w:rFonts w:ascii="Times New Roman" w:cs="Times New Roman" w:eastAsia="Times New Roman" w:hAnsi="Times New Roman"/>
          <w:color w:val="333333"/>
          <w:sz w:val="22"/>
          <w:szCs w:val="22"/>
        </w:rPr>
        <w:t xml:space="preserve">"Transaction" means each transaction entered into between the parties under this Agreement, as evidenced by a Confirmation;</w:t>
      </w:r>
    </w:p>
    <w:p>
      <w:pPr>
        <w:spacing w:before="0" w:after="130"/>
        <w:ind w:left="720"/>
      </w:pPr>
      <w:r>
        <w:rPr>
          <w:rFonts w:ascii="Times New Roman" w:cs="Times New Roman" w:eastAsia="Times New Roman" w:hAnsi="Times New Roman"/>
          <w:color w:val="333333"/>
          <w:sz w:val="22"/>
          <w:szCs w:val="22"/>
        </w:rPr>
        <w:t xml:space="preserve">"VCC" means a voluntary carbon credit, including VCU and GS-VER.</w:t>
      </w:r>
    </w:p>
    <w:p>
      <w:pPr>
        <w:spacing w:before="200" w:after="130"/>
        <w:ind w:left="360"/>
      </w:pPr>
      <w:r>
        <w:rPr>
          <w:rFonts w:ascii="Times New Roman" w:cs="Times New Roman" w:eastAsia="Times New Roman" w:hAnsi="Times New Roman"/>
          <w:b/>
          <w:bCs/>
          <w:color w:val="2E75B6"/>
          <w:sz w:val="22"/>
          <w:szCs w:val="22"/>
        </w:rPr>
        <w:t xml:space="preserve">1.2 </w:t>
      </w:r>
      <w:r>
        <w:rPr>
          <w:rFonts w:ascii="Times New Roman" w:cs="Times New Roman" w:eastAsia="Times New Roman" w:hAnsi="Times New Roman"/>
          <w:color w:val="333333"/>
          <w:sz w:val="22"/>
          <w:szCs w:val="22"/>
        </w:rPr>
        <w:t xml:space="preserve">Terms defined in the ISDA 2006 Definitions, the applicable industry-standard carbon credit definitions (2022), and the IETA Emissions Reduction Purchase Agreement (2023 form) shall, unless otherwise defined herein, have the meanings given therein.</w:t>
      </w:r>
    </w:p>
    <w:p>
      <w:pPr>
        <w:spacing w:before="200" w:after="130"/>
        <w:ind w:left="360"/>
      </w:pPr>
      <w:r>
        <w:rPr>
          <w:rFonts w:ascii="Times New Roman" w:cs="Times New Roman" w:eastAsia="Times New Roman" w:hAnsi="Times New Roman"/>
          <w:b/>
          <w:bCs/>
          <w:color w:val="2E75B6"/>
          <w:sz w:val="22"/>
          <w:szCs w:val="22"/>
        </w:rPr>
        <w:t xml:space="preserve">1.3 </w:t>
      </w:r>
      <w:r>
        <w:rPr>
          <w:rFonts w:ascii="Times New Roman" w:cs="Times New Roman" w:eastAsia="Times New Roman" w:hAnsi="Times New Roman"/>
          <w:color w:val="333333"/>
          <w:sz w:val="22"/>
          <w:szCs w:val="22"/>
        </w:rPr>
        <w:t xml:space="preserve">References to Articles, Schedules, and Annexes are to articles of, and schedules and annexes to, this Agreement.</w:t>
      </w:r>
    </w:p>
    <w:p>
      <w:r>
        <w:br w:type="page"/>
      </w:r>
    </w:p>
    <w:p>
      <w:pPr>
        <w:spacing w:before="400" w:after="200"/>
      </w:pPr>
      <w:r>
        <w:rPr>
          <w:rFonts w:ascii="Times New Roman" w:cs="Times New Roman" w:eastAsia="Times New Roman" w:hAnsi="Times New Roman"/>
          <w:b/>
          <w:bCs/>
          <w:caps/>
          <w:color w:val="1B2A4A"/>
          <w:sz w:val="24"/>
          <w:szCs w:val="24"/>
        </w:rPr>
        <w:t xml:space="preserve">ARTICLE 2 — SCOPE AND SINGLE AGREEMENT</w:t>
      </w:r>
    </w:p>
    <w:p>
      <w:pPr>
        <w:spacing w:before="200" w:after="130"/>
        <w:ind w:left="360"/>
      </w:pPr>
      <w:r>
        <w:rPr>
          <w:rFonts w:ascii="Times New Roman" w:cs="Times New Roman" w:eastAsia="Times New Roman" w:hAnsi="Times New Roman"/>
          <w:b/>
          <w:bCs/>
          <w:color w:val="2E75B6"/>
          <w:sz w:val="22"/>
          <w:szCs w:val="22"/>
        </w:rPr>
        <w:t xml:space="preserve">2.1 </w:t>
      </w:r>
      <w:r>
        <w:rPr>
          <w:rFonts w:ascii="Times New Roman" w:cs="Times New Roman" w:eastAsia="Times New Roman" w:hAnsi="Times New Roman"/>
          <w:color w:val="333333"/>
          <w:sz w:val="22"/>
          <w:szCs w:val="22"/>
        </w:rPr>
        <w:t xml:space="preserve">This Agreement and all Confirmations entered into hereunder form a single agreement between the parties (the "Agreement"). The parties would not otherwise enter into any Transaction.</w:t>
      </w:r>
    </w:p>
    <w:p>
      <w:pPr>
        <w:spacing w:before="200" w:after="130"/>
        <w:ind w:left="360"/>
      </w:pPr>
      <w:r>
        <w:rPr>
          <w:rFonts w:ascii="Times New Roman" w:cs="Times New Roman" w:eastAsia="Times New Roman" w:hAnsi="Times New Roman"/>
          <w:b/>
          <w:bCs/>
          <w:color w:val="2E75B6"/>
          <w:sz w:val="22"/>
          <w:szCs w:val="22"/>
        </w:rPr>
        <w:t xml:space="preserve">2.2 </w:t>
      </w:r>
      <w:r>
        <w:rPr>
          <w:rFonts w:ascii="Times New Roman" w:cs="Times New Roman" w:eastAsia="Times New Roman" w:hAnsi="Times New Roman"/>
          <w:color w:val="333333"/>
          <w:sz w:val="22"/>
          <w:szCs w:val="22"/>
        </w:rPr>
        <w:t xml:space="preserve">This Agreement governs the following types of Transactions:</w:t>
      </w:r>
    </w:p>
    <w:p>
      <w:pPr>
        <w:spacing w:before="0" w:after="130"/>
        <w:ind w:left="720"/>
      </w:pPr>
      <w:r>
        <w:rPr>
          <w:rFonts w:ascii="Times New Roman" w:cs="Times New Roman" w:eastAsia="Times New Roman" w:hAnsi="Times New Roman"/>
          <w:color w:val="333333"/>
          <w:sz w:val="22"/>
          <w:szCs w:val="22"/>
        </w:rPr>
        <w:t xml:space="preserve">(a) Spot and forward purchase and sale of Allowances (EUA, CEA);</w:t>
      </w:r>
    </w:p>
    <w:p>
      <w:pPr>
        <w:spacing w:before="0" w:after="130"/>
        <w:ind w:left="720"/>
      </w:pPr>
      <w:r>
        <w:rPr>
          <w:rFonts w:ascii="Times New Roman" w:cs="Times New Roman" w:eastAsia="Times New Roman" w:hAnsi="Times New Roman"/>
          <w:color w:val="333333"/>
          <w:sz w:val="22"/>
          <w:szCs w:val="22"/>
        </w:rPr>
        <w:t xml:space="preserve">(b) Spot and forward purchase and sale of Offset Credits (VCU, GS-VER, CER);</w:t>
      </w:r>
    </w:p>
    <w:p>
      <w:pPr>
        <w:spacing w:before="0" w:after="130"/>
        <w:ind w:left="720"/>
      </w:pPr>
      <w:r>
        <w:rPr>
          <w:rFonts w:ascii="Times New Roman" w:cs="Times New Roman" w:eastAsia="Times New Roman" w:hAnsi="Times New Roman"/>
          <w:color w:val="333333"/>
          <w:sz w:val="22"/>
          <w:szCs w:val="22"/>
        </w:rPr>
        <w:t xml:space="preserve">(c) Conversion Transactions (CEA→EUA, EUA→CEA);</w:t>
      </w:r>
    </w:p>
    <w:p>
      <w:pPr>
        <w:spacing w:before="0" w:after="130"/>
        <w:ind w:left="720"/>
      </w:pPr>
      <w:r>
        <w:rPr>
          <w:rFonts w:ascii="Times New Roman" w:cs="Times New Roman" w:eastAsia="Times New Roman" w:hAnsi="Times New Roman"/>
          <w:color w:val="333333"/>
          <w:sz w:val="22"/>
          <w:szCs w:val="22"/>
        </w:rPr>
        <w:t xml:space="preserve">(d) Options on Carbon Credits;</w:t>
      </w:r>
    </w:p>
    <w:p>
      <w:pPr>
        <w:spacing w:before="0" w:after="130"/>
        <w:ind w:left="720"/>
      </w:pPr>
      <w:r>
        <w:rPr>
          <w:rFonts w:ascii="Times New Roman" w:cs="Times New Roman" w:eastAsia="Times New Roman" w:hAnsi="Times New Roman"/>
          <w:color w:val="333333"/>
          <w:sz w:val="22"/>
          <w:szCs w:val="22"/>
        </w:rPr>
        <w:t xml:space="preserve">(e) Carbon Credit swaps (fixed-for-floating, cross-market);</w:t>
      </w:r>
    </w:p>
    <w:p>
      <w:pPr>
        <w:spacing w:before="0" w:after="130"/>
        <w:ind w:left="720"/>
      </w:pPr>
      <w:r>
        <w:rPr>
          <w:rFonts w:ascii="Times New Roman" w:cs="Times New Roman" w:eastAsia="Times New Roman" w:hAnsi="Times New Roman"/>
          <w:color w:val="333333"/>
          <w:sz w:val="22"/>
          <w:szCs w:val="22"/>
        </w:rPr>
        <w:t xml:space="preserve">(f) Any other transaction type as mutually agreed and documented in a Confirmation.</w:t>
      </w:r>
    </w:p>
    <w:p>
      <w:pPr>
        <w:spacing w:before="200" w:after="130"/>
        <w:ind w:left="360"/>
      </w:pPr>
      <w:r>
        <w:rPr>
          <w:rFonts w:ascii="Times New Roman" w:cs="Times New Roman" w:eastAsia="Times New Roman" w:hAnsi="Times New Roman"/>
          <w:b/>
          <w:bCs/>
          <w:color w:val="2E75B6"/>
          <w:sz w:val="22"/>
          <w:szCs w:val="22"/>
        </w:rPr>
        <w:t xml:space="preserve">2.3 </w:t>
      </w:r>
      <w:r>
        <w:rPr>
          <w:rFonts w:ascii="Times New Roman" w:cs="Times New Roman" w:eastAsia="Times New Roman" w:hAnsi="Times New Roman"/>
          <w:color w:val="333333"/>
          <w:sz w:val="22"/>
          <w:szCs w:val="22"/>
        </w:rPr>
        <w:t xml:space="preserve">Each Transaction shall be evidenced by a Confirmation substantially in the form set out in Schedule 2. In the event of any inconsistency between the terms of a Confirmation and this Agreement, the Confirmation shall prevail.</w:t>
      </w:r>
    </w:p>
    <w:p>
      <w:pPr>
        <w:spacing w:before="400" w:after="200"/>
      </w:pPr>
      <w:r>
        <w:rPr>
          <w:rFonts w:ascii="Times New Roman" w:cs="Times New Roman" w:eastAsia="Times New Roman" w:hAnsi="Times New Roman"/>
          <w:b/>
          <w:bCs/>
          <w:caps/>
          <w:color w:val="1B2A4A"/>
          <w:sz w:val="24"/>
          <w:szCs w:val="24"/>
        </w:rPr>
        <w:t xml:space="preserve">ARTICLE 3 — REPRESENTATIONS AND WARRANTIES</w:t>
      </w:r>
    </w:p>
    <w:p>
      <w:pPr>
        <w:spacing w:before="200" w:after="130"/>
        <w:ind w:left="360"/>
      </w:pPr>
      <w:r>
        <w:rPr>
          <w:rFonts w:ascii="Times New Roman" w:cs="Times New Roman" w:eastAsia="Times New Roman" w:hAnsi="Times New Roman"/>
          <w:b/>
          <w:bCs/>
          <w:color w:val="2E75B6"/>
          <w:sz w:val="22"/>
          <w:szCs w:val="22"/>
        </w:rPr>
        <w:t xml:space="preserve">3.1 </w:t>
      </w:r>
      <w:r>
        <w:rPr>
          <w:rFonts w:ascii="Times New Roman" w:cs="Times New Roman" w:eastAsia="Times New Roman" w:hAnsi="Times New Roman"/>
          <w:color w:val="333333"/>
          <w:sz w:val="22"/>
          <w:szCs w:val="22"/>
        </w:rPr>
        <w:t xml:space="preserve">Each party represents and warrants to the other on the date of this Agreement and on the date of each Transaction that:</w:t>
      </w:r>
    </w:p>
    <w:p>
      <w:pPr>
        <w:spacing w:before="0" w:after="130"/>
        <w:ind w:left="720"/>
      </w:pPr>
      <w:r>
        <w:rPr>
          <w:rFonts w:ascii="Times New Roman" w:cs="Times New Roman" w:eastAsia="Times New Roman" w:hAnsi="Times New Roman"/>
          <w:color w:val="333333"/>
          <w:sz w:val="22"/>
          <w:szCs w:val="22"/>
        </w:rPr>
        <w:t xml:space="preserve">(a) it is duly organised and validly existing under the laws of its jurisdiction of incorporation;</w:t>
      </w:r>
    </w:p>
    <w:p>
      <w:pPr>
        <w:spacing w:before="0" w:after="130"/>
        <w:ind w:left="720"/>
      </w:pPr>
      <w:r>
        <w:rPr>
          <w:rFonts w:ascii="Times New Roman" w:cs="Times New Roman" w:eastAsia="Times New Roman" w:hAnsi="Times New Roman"/>
          <w:color w:val="333333"/>
          <w:sz w:val="22"/>
          <w:szCs w:val="22"/>
        </w:rPr>
        <w:t xml:space="preserve">(b) it has the power and authority to execute, deliver, and perform its obligations under this Agreement;</w:t>
      </w:r>
    </w:p>
    <w:p>
      <w:pPr>
        <w:spacing w:before="0" w:after="130"/>
        <w:ind w:left="720"/>
      </w:pPr>
      <w:r>
        <w:rPr>
          <w:rFonts w:ascii="Times New Roman" w:cs="Times New Roman" w:eastAsia="Times New Roman" w:hAnsi="Times New Roman"/>
          <w:color w:val="333333"/>
          <w:sz w:val="22"/>
          <w:szCs w:val="22"/>
        </w:rPr>
        <w:t xml:space="preserve">(c) this Agreement constitutes its legal, valid, and binding obligation;</w:t>
      </w:r>
    </w:p>
    <w:p>
      <w:pPr>
        <w:spacing w:before="0" w:after="130"/>
        <w:ind w:left="720"/>
      </w:pPr>
      <w:r>
        <w:rPr>
          <w:rFonts w:ascii="Times New Roman" w:cs="Times New Roman" w:eastAsia="Times New Roman" w:hAnsi="Times New Roman"/>
          <w:color w:val="333333"/>
          <w:sz w:val="22"/>
          <w:szCs w:val="22"/>
        </w:rPr>
        <w:t xml:space="preserve">(d) the execution, delivery, and performance of this Agreement does not violate any law, regulation, or contractual obligation binding upon it;</w:t>
      </w:r>
    </w:p>
    <w:p>
      <w:pPr>
        <w:spacing w:before="0" w:after="130"/>
        <w:ind w:left="720"/>
      </w:pPr>
      <w:r>
        <w:rPr>
          <w:rFonts w:ascii="Times New Roman" w:cs="Times New Roman" w:eastAsia="Times New Roman" w:hAnsi="Times New Roman"/>
          <w:color w:val="333333"/>
          <w:sz w:val="22"/>
          <w:szCs w:val="22"/>
        </w:rPr>
        <w:t xml:space="preserve">(e) it holds all necessary registrations, licences, and approvals (including Registry Accounts and, where applicable, SAFE approvals) required to perform its obligations;</w:t>
      </w:r>
    </w:p>
    <w:p>
      <w:pPr>
        <w:spacing w:before="0" w:after="130"/>
        <w:ind w:left="720"/>
      </w:pPr>
      <w:r>
        <w:rPr>
          <w:rFonts w:ascii="Times New Roman" w:cs="Times New Roman" w:eastAsia="Times New Roman" w:hAnsi="Times New Roman"/>
          <w:color w:val="333333"/>
          <w:sz w:val="22"/>
          <w:szCs w:val="22"/>
        </w:rPr>
        <w:t xml:space="preserve">(f) no Event of Default or Potential Event of Default has occurred and is continuing;</w:t>
      </w:r>
    </w:p>
    <w:p>
      <w:pPr>
        <w:spacing w:before="0" w:after="130"/>
        <w:ind w:left="720"/>
      </w:pPr>
      <w:r>
        <w:rPr>
          <w:rFonts w:ascii="Times New Roman" w:cs="Times New Roman" w:eastAsia="Times New Roman" w:hAnsi="Times New Roman"/>
          <w:color w:val="333333"/>
          <w:sz w:val="22"/>
          <w:szCs w:val="22"/>
        </w:rPr>
        <w:t xml:space="preserve">(g) it is acting as principal and not as agent for any other person;</w:t>
      </w:r>
    </w:p>
    <w:p>
      <w:pPr>
        <w:spacing w:before="0" w:after="130"/>
        <w:ind w:left="720"/>
      </w:pPr>
      <w:r>
        <w:rPr>
          <w:rFonts w:ascii="Times New Roman" w:cs="Times New Roman" w:eastAsia="Times New Roman" w:hAnsi="Times New Roman"/>
          <w:color w:val="333333"/>
          <w:sz w:val="22"/>
          <w:szCs w:val="22"/>
        </w:rPr>
        <w:t xml:space="preserve">(h) it has made its own independent decision to enter into each Transaction based on its own judgment.</w:t>
      </w:r>
    </w:p>
    <w:p>
      <w:pPr>
        <w:spacing w:before="200" w:after="130"/>
        <w:ind w:left="360"/>
      </w:pPr>
      <w:r>
        <w:rPr>
          <w:rFonts w:ascii="Times New Roman" w:cs="Times New Roman" w:eastAsia="Times New Roman" w:hAnsi="Times New Roman"/>
          <w:b/>
          <w:bCs/>
          <w:color w:val="2E75B6"/>
          <w:sz w:val="22"/>
          <w:szCs w:val="22"/>
        </w:rPr>
        <w:t xml:space="preserve">3.2 </w:t>
      </w:r>
      <w:r>
        <w:rPr>
          <w:rFonts w:ascii="Times New Roman" w:cs="Times New Roman" w:eastAsia="Times New Roman" w:hAnsi="Times New Roman"/>
          <w:color w:val="333333"/>
          <w:sz w:val="22"/>
          <w:szCs w:val="22"/>
        </w:rPr>
        <w:t xml:space="preserve">Party A additionally represents that:</w:t>
      </w:r>
    </w:p>
    <w:p>
      <w:pPr>
        <w:spacing w:before="0" w:after="130"/>
        <w:ind w:left="720"/>
      </w:pPr>
      <w:r>
        <w:rPr>
          <w:rFonts w:ascii="Times New Roman" w:cs="Times New Roman" w:eastAsia="Times New Roman" w:hAnsi="Times New Roman"/>
          <w:color w:val="333333"/>
          <w:sz w:val="22"/>
          <w:szCs w:val="22"/>
        </w:rPr>
        <w:t xml:space="preserve">(a) carbon credit trading in Hong Kong does not require a licence under the applicable securities and futures legislation in Hong Kong;</w:t>
      </w:r>
    </w:p>
    <w:p>
      <w:pPr>
        <w:spacing w:before="0" w:after="130"/>
        <w:ind w:left="720"/>
      </w:pPr>
      <w:r>
        <w:rPr>
          <w:rFonts w:ascii="Times New Roman" w:cs="Times New Roman" w:eastAsia="Times New Roman" w:hAnsi="Times New Roman"/>
          <w:color w:val="333333"/>
          <w:sz w:val="22"/>
          <w:szCs w:val="22"/>
        </w:rPr>
        <w:t xml:space="preserve">(b) it maintains professional indemnity insurance with a minimum coverage of USD 5,000,000;</w:t>
      </w:r>
    </w:p>
    <w:p>
      <w:pPr>
        <w:spacing w:before="0" w:after="130"/>
        <w:ind w:left="720"/>
      </w:pPr>
      <w:r>
        <w:rPr>
          <w:rFonts w:ascii="Times New Roman" w:cs="Times New Roman" w:eastAsia="Times New Roman" w:hAnsi="Times New Roman"/>
          <w:color w:val="333333"/>
          <w:sz w:val="22"/>
          <w:szCs w:val="22"/>
        </w:rPr>
        <w:t xml:space="preserve">(c) it maintains segregated client accounts and Registry Accounts in accordance with its Custody Agreement and Compliance Policy Manual.</w:t>
      </w:r>
    </w:p>
    <w:p>
      <w:r>
        <w:br w:type="page"/>
      </w:r>
    </w:p>
    <w:p>
      <w:pPr>
        <w:spacing w:before="400" w:after="200"/>
      </w:pPr>
      <w:r>
        <w:rPr>
          <w:rFonts w:ascii="Times New Roman" w:cs="Times New Roman" w:eastAsia="Times New Roman" w:hAnsi="Times New Roman"/>
          <w:b/>
          <w:bCs/>
          <w:caps/>
          <w:color w:val="1B2A4A"/>
          <w:sz w:val="24"/>
          <w:szCs w:val="24"/>
        </w:rPr>
        <w:t xml:space="preserve">ARTICLE 4 — DELIVERY AND SETTLEMENT</w:t>
      </w:r>
    </w:p>
    <w:p>
      <w:pPr>
        <w:spacing w:before="200" w:after="130"/>
        <w:ind w:left="360"/>
      </w:pPr>
      <w:r>
        <w:rPr>
          <w:rFonts w:ascii="Times New Roman" w:cs="Times New Roman" w:eastAsia="Times New Roman" w:hAnsi="Times New Roman"/>
          <w:b/>
          <w:bCs/>
          <w:color w:val="2E75B6"/>
          <w:sz w:val="22"/>
          <w:szCs w:val="22"/>
        </w:rPr>
        <w:t xml:space="preserve">4.1 </w:t>
      </w:r>
      <w:r>
        <w:rPr>
          <w:rFonts w:ascii="Times New Roman" w:cs="Times New Roman" w:eastAsia="Times New Roman" w:hAnsi="Times New Roman"/>
          <w:color w:val="333333"/>
          <w:sz w:val="22"/>
          <w:szCs w:val="22"/>
        </w:rPr>
        <w:t xml:space="preserve">Physical Delivery. Unless otherwise specified in the Confirmation, each Transaction shall be settled by physical Delivery of the relevant Carbon Credits against payment of the Settlement Amount ("Delivery versus Payment" or "DvP").</w:t>
      </w:r>
    </w:p>
    <w:p>
      <w:pPr>
        <w:spacing w:before="200" w:after="130"/>
        <w:ind w:left="360"/>
      </w:pPr>
      <w:r>
        <w:rPr>
          <w:rFonts w:ascii="Times New Roman" w:cs="Times New Roman" w:eastAsia="Times New Roman" w:hAnsi="Times New Roman"/>
          <w:b/>
          <w:bCs/>
          <w:color w:val="2E75B6"/>
          <w:sz w:val="22"/>
          <w:szCs w:val="22"/>
        </w:rPr>
        <w:t xml:space="preserve">4.2 </w:t>
      </w:r>
      <w:r>
        <w:rPr>
          <w:rFonts w:ascii="Times New Roman" w:cs="Times New Roman" w:eastAsia="Times New Roman" w:hAnsi="Times New Roman"/>
          <w:color w:val="333333"/>
          <w:sz w:val="22"/>
          <w:szCs w:val="22"/>
        </w:rPr>
        <w:t xml:space="preserve">Delivery Obligations. On the Delivery Date specified in the Confirmation:</w:t>
      </w:r>
    </w:p>
    <w:p>
      <w:pPr>
        <w:spacing w:before="0" w:after="130"/>
        <w:ind w:left="720"/>
      </w:pPr>
      <w:r>
        <w:rPr>
          <w:rFonts w:ascii="Times New Roman" w:cs="Times New Roman" w:eastAsia="Times New Roman" w:hAnsi="Times New Roman"/>
          <w:color w:val="333333"/>
          <w:sz w:val="22"/>
          <w:szCs w:val="22"/>
        </w:rPr>
        <w:t xml:space="preserve">(a) the Delivering Party shall initiate the transfer of the specified quantity and type of Carbon Credits from its Registry Account to the Receiving Party's Registry Account;</w:t>
      </w:r>
    </w:p>
    <w:p>
      <w:pPr>
        <w:spacing w:before="0" w:after="130"/>
        <w:ind w:left="720"/>
      </w:pPr>
      <w:r>
        <w:rPr>
          <w:rFonts w:ascii="Times New Roman" w:cs="Times New Roman" w:eastAsia="Times New Roman" w:hAnsi="Times New Roman"/>
          <w:color w:val="333333"/>
          <w:sz w:val="22"/>
          <w:szCs w:val="22"/>
        </w:rPr>
        <w:t xml:space="preserve">(b) the Receiving Party shall make payment of the Settlement Amount in the Agreed Currency to the account specified in the Confirmation.</w:t>
      </w:r>
    </w:p>
    <w:p>
      <w:pPr>
        <w:spacing w:before="200" w:after="130"/>
        <w:ind w:left="360"/>
      </w:pPr>
      <w:r>
        <w:rPr>
          <w:rFonts w:ascii="Times New Roman" w:cs="Times New Roman" w:eastAsia="Times New Roman" w:hAnsi="Times New Roman"/>
          <w:b/>
          <w:bCs/>
          <w:color w:val="2E75B6"/>
          <w:sz w:val="22"/>
          <w:szCs w:val="22"/>
        </w:rPr>
        <w:t xml:space="preserve">4.3 </w:t>
      </w:r>
      <w:r>
        <w:rPr>
          <w:rFonts w:ascii="Times New Roman" w:cs="Times New Roman" w:eastAsia="Times New Roman" w:hAnsi="Times New Roman"/>
          <w:color w:val="333333"/>
          <w:sz w:val="22"/>
          <w:szCs w:val="22"/>
        </w:rPr>
        <w:t xml:space="preserve">Delivery Completion. Delivery shall be deemed complete upon the Carbon Credits being credited to the Receiving Party's Registry Account as confirmed by the relevant Registry.</w:t>
      </w:r>
    </w:p>
    <w:p>
      <w:pPr>
        <w:spacing w:before="200" w:after="130"/>
        <w:ind w:left="360"/>
      </w:pPr>
      <w:r>
        <w:rPr>
          <w:rFonts w:ascii="Times New Roman" w:cs="Times New Roman" w:eastAsia="Times New Roman" w:hAnsi="Times New Roman"/>
          <w:b/>
          <w:bCs/>
          <w:color w:val="2E75B6"/>
          <w:sz w:val="22"/>
          <w:szCs w:val="22"/>
        </w:rPr>
        <w:t xml:space="preserve">4.4 </w:t>
      </w:r>
      <w:r>
        <w:rPr>
          <w:rFonts w:ascii="Times New Roman" w:cs="Times New Roman" w:eastAsia="Times New Roman" w:hAnsi="Times New Roman"/>
          <w:color w:val="333333"/>
          <w:sz w:val="22"/>
          <w:szCs w:val="22"/>
        </w:rPr>
        <w:t xml:space="preserve">Settlement Periods. Unless otherwise agreed:</w:t>
      </w:r>
    </w:p>
    <w:p>
      <w:pPr>
        <w:spacing w:before="0" w:after="130"/>
        <w:ind w:left="720"/>
      </w:pPr>
      <w:r>
        <w:rPr>
          <w:rFonts w:ascii="Times New Roman" w:cs="Times New Roman" w:eastAsia="Times New Roman" w:hAnsi="Times New Roman"/>
          <w:color w:val="333333"/>
          <w:sz w:val="22"/>
          <w:szCs w:val="22"/>
        </w:rPr>
        <w:t xml:space="preserve">(a) EUA Spot Transactions: T+2;</w:t>
      </w:r>
    </w:p>
    <w:p>
      <w:pPr>
        <w:spacing w:before="0" w:after="130"/>
        <w:ind w:left="720"/>
      </w:pPr>
      <w:r>
        <w:rPr>
          <w:rFonts w:ascii="Times New Roman" w:cs="Times New Roman" w:eastAsia="Times New Roman" w:hAnsi="Times New Roman"/>
          <w:color w:val="333333"/>
          <w:sz w:val="22"/>
          <w:szCs w:val="22"/>
        </w:rPr>
        <w:t xml:space="preserve">(b) CEA Spot Transactions: T+3 (subject to CEEX settlement cycle and SAFE clearance);</w:t>
      </w:r>
    </w:p>
    <w:p>
      <w:pPr>
        <w:spacing w:before="0" w:after="130"/>
        <w:ind w:left="720"/>
      </w:pPr>
      <w:r>
        <w:rPr>
          <w:rFonts w:ascii="Times New Roman" w:cs="Times New Roman" w:eastAsia="Times New Roman" w:hAnsi="Times New Roman"/>
          <w:color w:val="333333"/>
          <w:sz w:val="22"/>
          <w:szCs w:val="22"/>
        </w:rPr>
        <w:t xml:space="preserve">(c) VCC/CER Transactions: T+5 (subject to registry processing times);</w:t>
      </w:r>
    </w:p>
    <w:p>
      <w:pPr>
        <w:spacing w:before="0" w:after="130"/>
        <w:ind w:left="720"/>
      </w:pPr>
      <w:r>
        <w:rPr>
          <w:rFonts w:ascii="Times New Roman" w:cs="Times New Roman" w:eastAsia="Times New Roman" w:hAnsi="Times New Roman"/>
          <w:color w:val="333333"/>
          <w:sz w:val="22"/>
          <w:szCs w:val="22"/>
        </w:rPr>
        <w:t xml:space="preserve">(d) Conversion Transactions: as specified in the Confirmation (typically T+10 to T+15 for cross-border conversions).</w:t>
      </w:r>
    </w:p>
    <w:p>
      <w:pPr>
        <w:spacing w:before="200" w:after="130"/>
        <w:ind w:left="360"/>
      </w:pPr>
      <w:r>
        <w:rPr>
          <w:rFonts w:ascii="Times New Roman" w:cs="Times New Roman" w:eastAsia="Times New Roman" w:hAnsi="Times New Roman"/>
          <w:b/>
          <w:bCs/>
          <w:color w:val="2E75B6"/>
          <w:sz w:val="22"/>
          <w:szCs w:val="22"/>
        </w:rPr>
        <w:t xml:space="preserve">4.5 </w:t>
      </w:r>
      <w:r>
        <w:rPr>
          <w:rFonts w:ascii="Times New Roman" w:cs="Times New Roman" w:eastAsia="Times New Roman" w:hAnsi="Times New Roman"/>
          <w:color w:val="333333"/>
          <w:sz w:val="22"/>
          <w:szCs w:val="22"/>
        </w:rPr>
        <w:t xml:space="preserve">Failed Delivery. If the Delivering Party fails to complete Delivery by the end of the Settlement Period:</w:t>
      </w:r>
    </w:p>
    <w:p>
      <w:pPr>
        <w:spacing w:before="0" w:after="130"/>
        <w:ind w:left="720"/>
      </w:pPr>
      <w:r>
        <w:rPr>
          <w:rFonts w:ascii="Times New Roman" w:cs="Times New Roman" w:eastAsia="Times New Roman" w:hAnsi="Times New Roman"/>
          <w:color w:val="333333"/>
          <w:sz w:val="22"/>
          <w:szCs w:val="22"/>
        </w:rPr>
        <w:t xml:space="preserve">(a) the Receiving Party may, at its option, extend the Settlement Period by up to 5 Business Days;</w:t>
      </w:r>
    </w:p>
    <w:p>
      <w:pPr>
        <w:spacing w:before="0" w:after="130"/>
        <w:ind w:left="720"/>
      </w:pPr>
      <w:r>
        <w:rPr>
          <w:rFonts w:ascii="Times New Roman" w:cs="Times New Roman" w:eastAsia="Times New Roman" w:hAnsi="Times New Roman"/>
          <w:color w:val="333333"/>
          <w:sz w:val="22"/>
          <w:szCs w:val="22"/>
        </w:rPr>
        <w:t xml:space="preserve">(b) the Delivering Party shall pay interest on the value of the undelivered Carbon Credits at the Default Rate;</w:t>
      </w:r>
    </w:p>
    <w:p>
      <w:pPr>
        <w:spacing w:before="0" w:after="130"/>
        <w:ind w:left="720"/>
      </w:pPr>
      <w:r>
        <w:rPr>
          <w:rFonts w:ascii="Times New Roman" w:cs="Times New Roman" w:eastAsia="Times New Roman" w:hAnsi="Times New Roman"/>
          <w:color w:val="333333"/>
          <w:sz w:val="22"/>
          <w:szCs w:val="22"/>
        </w:rPr>
        <w:t xml:space="preserve">(c) if Delivery is not completed within the extended period, the Receiving Party may declare an Event of Default.</w:t>
      </w:r>
    </w:p>
    <w:p>
      <w:pPr>
        <w:spacing w:before="400" w:after="200"/>
      </w:pPr>
      <w:r>
        <w:rPr>
          <w:rFonts w:ascii="Times New Roman" w:cs="Times New Roman" w:eastAsia="Times New Roman" w:hAnsi="Times New Roman"/>
          <w:b/>
          <w:bCs/>
          <w:caps/>
          <w:color w:val="1B2A4A"/>
          <w:sz w:val="24"/>
          <w:szCs w:val="24"/>
        </w:rPr>
        <w:t xml:space="preserve">ARTICLE 5 — CONVERSION TRANSACTIONS</w:t>
      </w:r>
    </w:p>
    <w:p>
      <w:pPr>
        <w:spacing w:before="200" w:after="130"/>
        <w:ind w:left="360"/>
      </w:pPr>
      <w:r>
        <w:rPr>
          <w:rFonts w:ascii="Times New Roman" w:cs="Times New Roman" w:eastAsia="Times New Roman" w:hAnsi="Times New Roman"/>
          <w:b/>
          <w:bCs/>
          <w:color w:val="2E75B6"/>
          <w:sz w:val="22"/>
          <w:szCs w:val="22"/>
        </w:rPr>
        <w:t xml:space="preserve">5.1 </w:t>
      </w:r>
      <w:r>
        <w:rPr>
          <w:rFonts w:ascii="Times New Roman" w:cs="Times New Roman" w:eastAsia="Times New Roman" w:hAnsi="Times New Roman"/>
          <w:color w:val="333333"/>
          <w:sz w:val="22"/>
          <w:szCs w:val="22"/>
        </w:rPr>
        <w:t xml:space="preserve">Conversion Methodology. For CEA→EUA Conversion Transactions:</w:t>
      </w:r>
    </w:p>
    <w:p>
      <w:pPr>
        <w:spacing w:before="0" w:after="130"/>
        <w:ind w:left="720"/>
      </w:pPr>
      <w:r>
        <w:rPr>
          <w:rFonts w:ascii="Times New Roman" w:cs="Times New Roman" w:eastAsia="Times New Roman" w:hAnsi="Times New Roman"/>
          <w:color w:val="333333"/>
          <w:sz w:val="22"/>
          <w:szCs w:val="22"/>
        </w:rPr>
        <w:t xml:space="preserve">(a) the Conversion Ratio shall be the ratio specified in the Confirmation, being the number of EUA deliverable per CEA surrendered;</w:t>
      </w:r>
    </w:p>
    <w:p>
      <w:pPr>
        <w:spacing w:before="0" w:after="130"/>
        <w:ind w:left="720"/>
      </w:pPr>
      <w:r>
        <w:rPr>
          <w:rFonts w:ascii="Times New Roman" w:cs="Times New Roman" w:eastAsia="Times New Roman" w:hAnsi="Times New Roman"/>
          <w:color w:val="333333"/>
          <w:sz w:val="22"/>
          <w:szCs w:val="22"/>
        </w:rPr>
        <w:t xml:space="preserve">(b) Party A shall procure the conversion through its established CEEX and EUTL infrastructure, subject to SAFE approval and quota availability;</w:t>
      </w:r>
    </w:p>
    <w:p>
      <w:pPr>
        <w:spacing w:before="0" w:after="130"/>
        <w:ind w:left="720"/>
      </w:pPr>
      <w:r>
        <w:rPr>
          <w:rFonts w:ascii="Times New Roman" w:cs="Times New Roman" w:eastAsia="Times New Roman" w:hAnsi="Times New Roman"/>
          <w:color w:val="333333"/>
          <w:sz w:val="22"/>
          <w:szCs w:val="22"/>
        </w:rPr>
        <w:t xml:space="preserve">(c) the conversion fee shall be as specified in the Fee Schedule (Annexure B to the Master Service Agreement).</w:t>
      </w:r>
    </w:p>
    <w:p>
      <w:pPr>
        <w:spacing w:before="200" w:after="130"/>
        <w:ind w:left="360"/>
      </w:pPr>
      <w:r>
        <w:rPr>
          <w:rFonts w:ascii="Times New Roman" w:cs="Times New Roman" w:eastAsia="Times New Roman" w:hAnsi="Times New Roman"/>
          <w:b/>
          <w:bCs/>
          <w:color w:val="2E75B6"/>
          <w:sz w:val="22"/>
          <w:szCs w:val="22"/>
        </w:rPr>
        <w:t xml:space="preserve">5.2 </w:t>
      </w:r>
      <w:r>
        <w:rPr>
          <w:rFonts w:ascii="Times New Roman" w:cs="Times New Roman" w:eastAsia="Times New Roman" w:hAnsi="Times New Roman"/>
          <w:color w:val="333333"/>
          <w:sz w:val="22"/>
          <w:szCs w:val="22"/>
        </w:rPr>
        <w:t xml:space="preserve">SAFE Compliance. All Conversion Transactions involving CEA are subject to:</w:t>
      </w:r>
    </w:p>
    <w:p>
      <w:pPr>
        <w:spacing w:before="0" w:after="130"/>
        <w:ind w:left="720"/>
      </w:pPr>
      <w:r>
        <w:rPr>
          <w:rFonts w:ascii="Times New Roman" w:cs="Times New Roman" w:eastAsia="Times New Roman" w:hAnsi="Times New Roman"/>
          <w:color w:val="333333"/>
          <w:sz w:val="22"/>
          <w:szCs w:val="22"/>
        </w:rPr>
        <w:t xml:space="preserve">(a) prior SAFE approval for cross-border capital movement;</w:t>
      </w:r>
    </w:p>
    <w:p>
      <w:pPr>
        <w:spacing w:before="0" w:after="130"/>
        <w:ind w:left="720"/>
      </w:pPr>
      <w:r>
        <w:rPr>
          <w:rFonts w:ascii="Times New Roman" w:cs="Times New Roman" w:eastAsia="Times New Roman" w:hAnsi="Times New Roman"/>
          <w:color w:val="333333"/>
          <w:sz w:val="22"/>
          <w:szCs w:val="22"/>
        </w:rPr>
        <w:t xml:space="preserve">(b) compliance with NIHA's SAFE-approved annual quota (currently CNY 50,000,000);</w:t>
      </w:r>
    </w:p>
    <w:p>
      <w:pPr>
        <w:spacing w:before="0" w:after="130"/>
        <w:ind w:left="720"/>
      </w:pPr>
      <w:r>
        <w:rPr>
          <w:rFonts w:ascii="Times New Roman" w:cs="Times New Roman" w:eastAsia="Times New Roman" w:hAnsi="Times New Roman"/>
          <w:color w:val="333333"/>
          <w:sz w:val="22"/>
          <w:szCs w:val="22"/>
        </w:rPr>
        <w:t xml:space="preserve">(c) completion of required SAFE reporting within 5 Business Days of settlement.</w:t>
      </w:r>
    </w:p>
    <w:p>
      <w:pPr>
        <w:spacing w:before="200" w:after="130"/>
        <w:ind w:left="360"/>
      </w:pPr>
      <w:r>
        <w:rPr>
          <w:rFonts w:ascii="Times New Roman" w:cs="Times New Roman" w:eastAsia="Times New Roman" w:hAnsi="Times New Roman"/>
          <w:b/>
          <w:bCs/>
          <w:color w:val="2E75B6"/>
          <w:sz w:val="22"/>
          <w:szCs w:val="22"/>
        </w:rPr>
        <w:t xml:space="preserve">5.3 </w:t>
      </w:r>
      <w:r>
        <w:rPr>
          <w:rFonts w:ascii="Times New Roman" w:cs="Times New Roman" w:eastAsia="Times New Roman" w:hAnsi="Times New Roman"/>
          <w:color w:val="333333"/>
          <w:sz w:val="22"/>
          <w:szCs w:val="22"/>
        </w:rPr>
        <w:t xml:space="preserve">Conversion Risk. The parties acknowledge that:</w:t>
      </w:r>
    </w:p>
    <w:p>
      <w:pPr>
        <w:spacing w:before="0" w:after="130"/>
        <w:ind w:left="720"/>
      </w:pPr>
      <w:r>
        <w:rPr>
          <w:rFonts w:ascii="Times New Roman" w:cs="Times New Roman" w:eastAsia="Times New Roman" w:hAnsi="Times New Roman"/>
          <w:color w:val="333333"/>
          <w:sz w:val="22"/>
          <w:szCs w:val="22"/>
        </w:rPr>
        <w:t xml:space="preserve">(a) the Conversion Ratio may fluctuate between the Trade Date and the Delivery Date;</w:t>
      </w:r>
    </w:p>
    <w:p>
      <w:pPr>
        <w:spacing w:before="0" w:after="130"/>
        <w:ind w:left="720"/>
      </w:pPr>
      <w:r>
        <w:rPr>
          <w:rFonts w:ascii="Times New Roman" w:cs="Times New Roman" w:eastAsia="Times New Roman" w:hAnsi="Times New Roman"/>
          <w:color w:val="333333"/>
          <w:sz w:val="22"/>
          <w:szCs w:val="22"/>
        </w:rPr>
        <w:t xml:space="preserve">(b) SAFE approval is not guaranteed and may be delayed;</w:t>
      </w:r>
    </w:p>
    <w:p>
      <w:pPr>
        <w:spacing w:before="0" w:after="130"/>
        <w:ind w:left="720"/>
      </w:pPr>
      <w:r>
        <w:rPr>
          <w:rFonts w:ascii="Times New Roman" w:cs="Times New Roman" w:eastAsia="Times New Roman" w:hAnsi="Times New Roman"/>
          <w:color w:val="333333"/>
          <w:sz w:val="22"/>
          <w:szCs w:val="22"/>
        </w:rPr>
        <w:t xml:space="preserve">(c) neither party shall be liable for losses arising from SAFE refusal or delay, provided the affected party has used best endeavours to obtain approval.</w:t>
      </w:r>
    </w:p>
    <w:p>
      <w:r>
        <w:br w:type="page"/>
      </w:r>
    </w:p>
    <w:p>
      <w:pPr>
        <w:spacing w:before="400" w:after="200"/>
      </w:pPr>
      <w:r>
        <w:rPr>
          <w:rFonts w:ascii="Times New Roman" w:cs="Times New Roman" w:eastAsia="Times New Roman" w:hAnsi="Times New Roman"/>
          <w:b/>
          <w:bCs/>
          <w:caps/>
          <w:color w:val="1B2A4A"/>
          <w:sz w:val="24"/>
          <w:szCs w:val="24"/>
        </w:rPr>
        <w:t xml:space="preserve">ARTICLE 6 — NETTING</w:t>
      </w:r>
    </w:p>
    <w:p>
      <w:pPr>
        <w:spacing w:before="200" w:after="130"/>
        <w:ind w:left="360"/>
      </w:pPr>
      <w:r>
        <w:rPr>
          <w:rFonts w:ascii="Times New Roman" w:cs="Times New Roman" w:eastAsia="Times New Roman" w:hAnsi="Times New Roman"/>
          <w:b/>
          <w:bCs/>
          <w:color w:val="2E75B6"/>
          <w:sz w:val="22"/>
          <w:szCs w:val="22"/>
        </w:rPr>
        <w:t xml:space="preserve">6.1 </w:t>
      </w:r>
      <w:r>
        <w:rPr>
          <w:rFonts w:ascii="Times New Roman" w:cs="Times New Roman" w:eastAsia="Times New Roman" w:hAnsi="Times New Roman"/>
          <w:color w:val="333333"/>
          <w:sz w:val="22"/>
          <w:szCs w:val="22"/>
        </w:rPr>
        <w:t xml:space="preserve">Payment Netting. If on any date amounts would otherwise be payable in the same currency by each party to the other, the obligations of the parties to make payment of such amounts shall be automatically satisfied and discharged and replaced by an obligation on the party owing the larger amount to pay the net amount.</w:t>
      </w:r>
    </w:p>
    <w:p>
      <w:pPr>
        <w:spacing w:before="200" w:after="130"/>
        <w:ind w:left="360"/>
      </w:pPr>
      <w:r>
        <w:rPr>
          <w:rFonts w:ascii="Times New Roman" w:cs="Times New Roman" w:eastAsia="Times New Roman" w:hAnsi="Times New Roman"/>
          <w:b/>
          <w:bCs/>
          <w:color w:val="2E75B6"/>
          <w:sz w:val="22"/>
          <w:szCs w:val="22"/>
        </w:rPr>
        <w:t xml:space="preserve">6.2 </w:t>
      </w:r>
      <w:r>
        <w:rPr>
          <w:rFonts w:ascii="Times New Roman" w:cs="Times New Roman" w:eastAsia="Times New Roman" w:hAnsi="Times New Roman"/>
          <w:color w:val="333333"/>
          <w:sz w:val="22"/>
          <w:szCs w:val="22"/>
        </w:rPr>
        <w:t xml:space="preserve">Delivery Netting. If on any Delivery Date Carbon Credits of the same type and Compliance Period would otherwise be deliverable by each party, the obligations to deliver shall be automatically netted.</w:t>
      </w:r>
    </w:p>
    <w:p>
      <w:pPr>
        <w:spacing w:before="200" w:after="130"/>
        <w:ind w:left="360"/>
      </w:pPr>
      <w:r>
        <w:rPr>
          <w:rFonts w:ascii="Times New Roman" w:cs="Times New Roman" w:eastAsia="Times New Roman" w:hAnsi="Times New Roman"/>
          <w:b/>
          <w:bCs/>
          <w:color w:val="2E75B6"/>
          <w:sz w:val="22"/>
          <w:szCs w:val="22"/>
        </w:rPr>
        <w:t xml:space="preserve">6.3 </w:t>
      </w:r>
      <w:r>
        <w:rPr>
          <w:rFonts w:ascii="Times New Roman" w:cs="Times New Roman" w:eastAsia="Times New Roman" w:hAnsi="Times New Roman"/>
          <w:color w:val="333333"/>
          <w:sz w:val="22"/>
          <w:szCs w:val="22"/>
        </w:rPr>
        <w:t xml:space="preserve">Close-Out Netting. Upon the occurrence of an Event of Default, close-out netting shall apply in accordance with Article 10.</w:t>
      </w:r>
    </w:p>
    <w:p>
      <w:pPr>
        <w:spacing w:before="400" w:after="200"/>
      </w:pPr>
      <w:r>
        <w:rPr>
          <w:rFonts w:ascii="Times New Roman" w:cs="Times New Roman" w:eastAsia="Times New Roman" w:hAnsi="Times New Roman"/>
          <w:b/>
          <w:bCs/>
          <w:caps/>
          <w:color w:val="1B2A4A"/>
          <w:sz w:val="24"/>
          <w:szCs w:val="24"/>
        </w:rPr>
        <w:t xml:space="preserve">ARTICLE 7 — CREDIT SUPPORT</w:t>
      </w:r>
    </w:p>
    <w:p>
      <w:pPr>
        <w:spacing w:before="200" w:after="130"/>
        <w:ind w:left="360"/>
      </w:pPr>
      <w:r>
        <w:rPr>
          <w:rFonts w:ascii="Times New Roman" w:cs="Times New Roman" w:eastAsia="Times New Roman" w:hAnsi="Times New Roman"/>
          <w:b/>
          <w:bCs/>
          <w:color w:val="2E75B6"/>
          <w:sz w:val="22"/>
          <w:szCs w:val="22"/>
        </w:rPr>
        <w:t xml:space="preserve">7.1 </w:t>
      </w:r>
      <w:r>
        <w:rPr>
          <w:rFonts w:ascii="Times New Roman" w:cs="Times New Roman" w:eastAsia="Times New Roman" w:hAnsi="Times New Roman"/>
          <w:color w:val="333333"/>
          <w:sz w:val="22"/>
          <w:szCs w:val="22"/>
        </w:rPr>
        <w:t xml:space="preserve">Initial Margin. Party B shall, if required under the Counterparty Risk Assessment Framework (Ref: NIHA-RISK-2026-001), deliver Initial Margin to Party A in an amount specified in the Confirmation or as notified by Party A.</w:t>
      </w:r>
    </w:p>
    <w:p>
      <w:pPr>
        <w:spacing w:before="200" w:after="130"/>
        <w:ind w:left="360"/>
      </w:pPr>
      <w:r>
        <w:rPr>
          <w:rFonts w:ascii="Times New Roman" w:cs="Times New Roman" w:eastAsia="Times New Roman" w:hAnsi="Times New Roman"/>
          <w:b/>
          <w:bCs/>
          <w:color w:val="2E75B6"/>
          <w:sz w:val="22"/>
          <w:szCs w:val="22"/>
        </w:rPr>
        <w:t xml:space="preserve">7.2 </w:t>
      </w:r>
      <w:r>
        <w:rPr>
          <w:rFonts w:ascii="Times New Roman" w:cs="Times New Roman" w:eastAsia="Times New Roman" w:hAnsi="Times New Roman"/>
          <w:color w:val="333333"/>
          <w:sz w:val="22"/>
          <w:szCs w:val="22"/>
        </w:rPr>
        <w:t xml:space="preserve">Variation Margin. If the aggregate Mark-to-Market Value of all outstanding Transactions exceeds the Unsecured Threshold, the party with the negative exposure shall deliver Variation Margin within 2 Business Days of notification.</w:t>
      </w:r>
    </w:p>
    <w:p>
      <w:pPr>
        <w:spacing w:before="200" w:after="130"/>
        <w:ind w:left="360"/>
      </w:pPr>
      <w:r>
        <w:rPr>
          <w:rFonts w:ascii="Times New Roman" w:cs="Times New Roman" w:eastAsia="Times New Roman" w:hAnsi="Times New Roman"/>
          <w:b/>
          <w:bCs/>
          <w:color w:val="2E75B6"/>
          <w:sz w:val="22"/>
          <w:szCs w:val="22"/>
        </w:rPr>
        <w:t xml:space="preserve">7.3 </w:t>
      </w:r>
      <w:r>
        <w:rPr>
          <w:rFonts w:ascii="Times New Roman" w:cs="Times New Roman" w:eastAsia="Times New Roman" w:hAnsi="Times New Roman"/>
          <w:color w:val="333333"/>
          <w:sz w:val="22"/>
          <w:szCs w:val="22"/>
        </w:rPr>
        <w:t xml:space="preserve">Eligible Collateral. Eligible Collateral comprises:</w:t>
      </w:r>
    </w:p>
    <w:p>
      <w:pPr>
        <w:spacing w:before="0" w:after="130"/>
        <w:ind w:left="720"/>
      </w:pPr>
      <w:r>
        <w:rPr>
          <w:rFonts w:ascii="Times New Roman" w:cs="Times New Roman" w:eastAsia="Times New Roman" w:hAnsi="Times New Roman"/>
          <w:color w:val="333333"/>
          <w:sz w:val="22"/>
          <w:szCs w:val="22"/>
        </w:rPr>
        <w:t xml:space="preserve">(a) Cash in EUR, USD, or CNY (haircut: 0%);</w:t>
      </w:r>
    </w:p>
    <w:p>
      <w:pPr>
        <w:spacing w:before="0" w:after="130"/>
        <w:ind w:left="720"/>
      </w:pPr>
      <w:r>
        <w:rPr>
          <w:rFonts w:ascii="Times New Roman" w:cs="Times New Roman" w:eastAsia="Times New Roman" w:hAnsi="Times New Roman"/>
          <w:color w:val="333333"/>
          <w:sz w:val="22"/>
          <w:szCs w:val="22"/>
        </w:rPr>
        <w:t xml:space="preserve">(b) EUA held in EUTL (haircut: 15%);</w:t>
      </w:r>
    </w:p>
    <w:p>
      <w:pPr>
        <w:spacing w:before="0" w:after="130"/>
        <w:ind w:left="720"/>
      </w:pPr>
      <w:r>
        <w:rPr>
          <w:rFonts w:ascii="Times New Roman" w:cs="Times New Roman" w:eastAsia="Times New Roman" w:hAnsi="Times New Roman"/>
          <w:color w:val="333333"/>
          <w:sz w:val="22"/>
          <w:szCs w:val="22"/>
        </w:rPr>
        <w:t xml:space="preserve">(c) CEA held in CEEX (haircut: 25%);</w:t>
      </w:r>
    </w:p>
    <w:p>
      <w:pPr>
        <w:spacing w:before="0" w:after="130"/>
        <w:ind w:left="720"/>
      </w:pPr>
      <w:r>
        <w:rPr>
          <w:rFonts w:ascii="Times New Roman" w:cs="Times New Roman" w:eastAsia="Times New Roman" w:hAnsi="Times New Roman"/>
          <w:color w:val="333333"/>
          <w:sz w:val="22"/>
          <w:szCs w:val="22"/>
        </w:rPr>
        <w:t xml:space="preserve">(d) Bank guarantees from institutions rated BBB+ or above (haircut: 5%).</w:t>
      </w:r>
    </w:p>
    <w:p>
      <w:pPr>
        <w:spacing w:before="200" w:after="130"/>
        <w:ind w:left="360"/>
      </w:pPr>
      <w:r>
        <w:rPr>
          <w:rFonts w:ascii="Times New Roman" w:cs="Times New Roman" w:eastAsia="Times New Roman" w:hAnsi="Times New Roman"/>
          <w:b/>
          <w:bCs/>
          <w:color w:val="2E75B6"/>
          <w:sz w:val="22"/>
          <w:szCs w:val="22"/>
        </w:rPr>
        <w:t xml:space="preserve">7.4 </w:t>
      </w:r>
      <w:r>
        <w:rPr>
          <w:rFonts w:ascii="Times New Roman" w:cs="Times New Roman" w:eastAsia="Times New Roman" w:hAnsi="Times New Roman"/>
          <w:color w:val="333333"/>
          <w:sz w:val="22"/>
          <w:szCs w:val="22"/>
        </w:rPr>
        <w:t xml:space="preserve">Return of Collateral. Collateral shall be returned within 3 Business Days of the relevant obligation being discharged or the exposure falling below the threshold.</w:t>
      </w:r>
    </w:p>
    <w:p>
      <w:pPr>
        <w:spacing w:before="400" w:after="200"/>
      </w:pPr>
      <w:r>
        <w:rPr>
          <w:rFonts w:ascii="Times New Roman" w:cs="Times New Roman" w:eastAsia="Times New Roman" w:hAnsi="Times New Roman"/>
          <w:b/>
          <w:bCs/>
          <w:caps/>
          <w:color w:val="1B2A4A"/>
          <w:sz w:val="24"/>
          <w:szCs w:val="24"/>
        </w:rPr>
        <w:t xml:space="preserve">ARTICLE 8 — VALUATION AND MARK-TO-MARKET</w:t>
      </w:r>
    </w:p>
    <w:p>
      <w:pPr>
        <w:spacing w:before="200" w:after="130"/>
        <w:ind w:left="360"/>
      </w:pPr>
      <w:r>
        <w:rPr>
          <w:rFonts w:ascii="Times New Roman" w:cs="Times New Roman" w:eastAsia="Times New Roman" w:hAnsi="Times New Roman"/>
          <w:b/>
          <w:bCs/>
          <w:color w:val="2E75B6"/>
          <w:sz w:val="22"/>
          <w:szCs w:val="22"/>
        </w:rPr>
        <w:t xml:space="preserve">8.1 </w:t>
      </w:r>
      <w:r>
        <w:rPr>
          <w:rFonts w:ascii="Times New Roman" w:cs="Times New Roman" w:eastAsia="Times New Roman" w:hAnsi="Times New Roman"/>
          <w:color w:val="333333"/>
          <w:sz w:val="22"/>
          <w:szCs w:val="22"/>
        </w:rPr>
        <w:t xml:space="preserve">Daily Valuation. Party A shall calculate the Mark-to-Market Value of all outstanding Transactions at the close of each Business Day using:</w:t>
      </w:r>
    </w:p>
    <w:p>
      <w:pPr>
        <w:spacing w:before="0" w:after="130"/>
        <w:ind w:left="720"/>
      </w:pPr>
      <w:r>
        <w:rPr>
          <w:rFonts w:ascii="Times New Roman" w:cs="Times New Roman" w:eastAsia="Times New Roman" w:hAnsi="Times New Roman"/>
          <w:color w:val="333333"/>
          <w:sz w:val="22"/>
          <w:szCs w:val="22"/>
        </w:rPr>
        <w:t xml:space="preserve">(a) EUA: ICE Endex EUA Futures (front month) settlement price;</w:t>
      </w:r>
    </w:p>
    <w:p>
      <w:pPr>
        <w:spacing w:before="0" w:after="130"/>
        <w:ind w:left="720"/>
      </w:pPr>
      <w:r>
        <w:rPr>
          <w:rFonts w:ascii="Times New Roman" w:cs="Times New Roman" w:eastAsia="Times New Roman" w:hAnsi="Times New Roman"/>
          <w:color w:val="333333"/>
          <w:sz w:val="22"/>
          <w:szCs w:val="22"/>
        </w:rPr>
        <w:t xml:space="preserve">(b) CEA: CEEX daily closing price;</w:t>
      </w:r>
    </w:p>
    <w:p>
      <w:pPr>
        <w:spacing w:before="0" w:after="130"/>
        <w:ind w:left="720"/>
      </w:pPr>
      <w:r>
        <w:rPr>
          <w:rFonts w:ascii="Times New Roman" w:cs="Times New Roman" w:eastAsia="Times New Roman" w:hAnsi="Times New Roman"/>
          <w:color w:val="333333"/>
          <w:sz w:val="22"/>
          <w:szCs w:val="22"/>
        </w:rPr>
        <w:t xml:space="preserve">(c) VCC/CER: The average of the last three reported prices on the relevant exchange or platform (Core Climate, Gold Standard Marketplace, or Verra Registry);</w:t>
      </w:r>
    </w:p>
    <w:p>
      <w:pPr>
        <w:spacing w:before="0" w:after="130"/>
        <w:ind w:left="720"/>
      </w:pPr>
      <w:r>
        <w:rPr>
          <w:rFonts w:ascii="Times New Roman" w:cs="Times New Roman" w:eastAsia="Times New Roman" w:hAnsi="Times New Roman"/>
          <w:color w:val="333333"/>
          <w:sz w:val="22"/>
          <w:szCs w:val="22"/>
        </w:rPr>
        <w:t xml:space="preserve">(d) Conversion Transactions: The implied value based on the applicable Conversion Ratio and the relevant market prices of the underlying Carbon Credits.</w:t>
      </w:r>
    </w:p>
    <w:p>
      <w:pPr>
        <w:spacing w:before="200" w:after="130"/>
        <w:ind w:left="360"/>
      </w:pPr>
      <w:r>
        <w:rPr>
          <w:rFonts w:ascii="Times New Roman" w:cs="Times New Roman" w:eastAsia="Times New Roman" w:hAnsi="Times New Roman"/>
          <w:b/>
          <w:bCs/>
          <w:color w:val="2E75B6"/>
          <w:sz w:val="22"/>
          <w:szCs w:val="22"/>
        </w:rPr>
        <w:t xml:space="preserve">8.2 </w:t>
      </w:r>
      <w:r>
        <w:rPr>
          <w:rFonts w:ascii="Times New Roman" w:cs="Times New Roman" w:eastAsia="Times New Roman" w:hAnsi="Times New Roman"/>
          <w:color w:val="333333"/>
          <w:sz w:val="22"/>
          <w:szCs w:val="22"/>
        </w:rPr>
        <w:t xml:space="preserve">Valuation Dispute. If Party B disputes a valuation, it shall notify Party A within 2 Business Days with supporting evidence. The parties shall negotiate in good faith to resolve the dispute within 5 Business Days.</w:t>
      </w:r>
    </w:p>
    <w:p>
      <w:pPr>
        <w:spacing w:before="400" w:after="200"/>
      </w:pPr>
      <w:r>
        <w:rPr>
          <w:rFonts w:ascii="Times New Roman" w:cs="Times New Roman" w:eastAsia="Times New Roman" w:hAnsi="Times New Roman"/>
          <w:b/>
          <w:bCs/>
          <w:caps/>
          <w:color w:val="1B2A4A"/>
          <w:sz w:val="24"/>
          <w:szCs w:val="24"/>
        </w:rPr>
        <w:t xml:space="preserve">ARTICLE 9 — TAXES AND COSTS</w:t>
      </w:r>
    </w:p>
    <w:p>
      <w:pPr>
        <w:spacing w:before="200" w:after="130"/>
        <w:ind w:left="360"/>
      </w:pPr>
      <w:r>
        <w:rPr>
          <w:rFonts w:ascii="Times New Roman" w:cs="Times New Roman" w:eastAsia="Times New Roman" w:hAnsi="Times New Roman"/>
          <w:b/>
          <w:bCs/>
          <w:color w:val="2E75B6"/>
          <w:sz w:val="22"/>
          <w:szCs w:val="22"/>
        </w:rPr>
        <w:t xml:space="preserve">9.1 </w:t>
      </w:r>
      <w:r>
        <w:rPr>
          <w:rFonts w:ascii="Times New Roman" w:cs="Times New Roman" w:eastAsia="Times New Roman" w:hAnsi="Times New Roman"/>
          <w:color w:val="333333"/>
          <w:sz w:val="22"/>
          <w:szCs w:val="22"/>
        </w:rPr>
        <w:t xml:space="preserve">Each party shall be responsible for all taxes imposed on it in respect of Transactions entered into under this Agreement.</w:t>
      </w:r>
    </w:p>
    <w:p>
      <w:pPr>
        <w:spacing w:before="200" w:after="130"/>
        <w:ind w:left="360"/>
      </w:pPr>
      <w:r>
        <w:rPr>
          <w:rFonts w:ascii="Times New Roman" w:cs="Times New Roman" w:eastAsia="Times New Roman" w:hAnsi="Times New Roman"/>
          <w:b/>
          <w:bCs/>
          <w:color w:val="2E75B6"/>
          <w:sz w:val="22"/>
          <w:szCs w:val="22"/>
        </w:rPr>
        <w:t xml:space="preserve">9.2 </w:t>
      </w:r>
      <w:r>
        <w:rPr>
          <w:rFonts w:ascii="Times New Roman" w:cs="Times New Roman" w:eastAsia="Times New Roman" w:hAnsi="Times New Roman"/>
          <w:color w:val="333333"/>
          <w:sz w:val="22"/>
          <w:szCs w:val="22"/>
        </w:rPr>
        <w:t xml:space="preserve">All payments shall be made free and clear of, and without deduction for, any taxes, unless required by law. If a deduction is required, the paying party shall gross up the payment.</w:t>
      </w:r>
    </w:p>
    <w:p>
      <w:pPr>
        <w:spacing w:before="200" w:after="130"/>
        <w:ind w:left="360"/>
      </w:pPr>
      <w:r>
        <w:rPr>
          <w:rFonts w:ascii="Times New Roman" w:cs="Times New Roman" w:eastAsia="Times New Roman" w:hAnsi="Times New Roman"/>
          <w:b/>
          <w:bCs/>
          <w:color w:val="2E75B6"/>
          <w:sz w:val="22"/>
          <w:szCs w:val="22"/>
        </w:rPr>
        <w:t xml:space="preserve">9.3 </w:t>
      </w:r>
      <w:r>
        <w:rPr>
          <w:rFonts w:ascii="Times New Roman" w:cs="Times New Roman" w:eastAsia="Times New Roman" w:hAnsi="Times New Roman"/>
          <w:color w:val="333333"/>
          <w:sz w:val="22"/>
          <w:szCs w:val="22"/>
        </w:rPr>
        <w:t xml:space="preserve">Registry transfer fees shall be borne by the Delivering Party unless otherwise specified in the Confirmation.</w:t>
      </w:r>
    </w:p>
    <w:p>
      <w:pPr>
        <w:spacing w:before="400" w:after="200"/>
      </w:pPr>
      <w:r>
        <w:rPr>
          <w:rFonts w:ascii="Times New Roman" w:cs="Times New Roman" w:eastAsia="Times New Roman" w:hAnsi="Times New Roman"/>
          <w:b/>
          <w:bCs/>
          <w:caps/>
          <w:color w:val="1B2A4A"/>
          <w:sz w:val="24"/>
          <w:szCs w:val="24"/>
        </w:rPr>
        <w:t xml:space="preserve">ARTICLE 10 — EVENTS OF DEFAULT AND TERMINATION</w:t>
      </w:r>
    </w:p>
    <w:p>
      <w:pPr>
        <w:spacing w:before="200" w:after="130"/>
        <w:ind w:left="360"/>
      </w:pPr>
      <w:r>
        <w:rPr>
          <w:rFonts w:ascii="Times New Roman" w:cs="Times New Roman" w:eastAsia="Times New Roman" w:hAnsi="Times New Roman"/>
          <w:b/>
          <w:bCs/>
          <w:color w:val="2E75B6"/>
          <w:sz w:val="22"/>
          <w:szCs w:val="22"/>
        </w:rPr>
        <w:t xml:space="preserve">10.1 </w:t>
      </w:r>
      <w:r>
        <w:rPr>
          <w:rFonts w:ascii="Times New Roman" w:cs="Times New Roman" w:eastAsia="Times New Roman" w:hAnsi="Times New Roman"/>
          <w:color w:val="333333"/>
          <w:sz w:val="22"/>
          <w:szCs w:val="22"/>
        </w:rPr>
        <w:t xml:space="preserve">Events of Default. Each of the following shall constitute an Event of Default:</w:t>
      </w:r>
    </w:p>
    <w:p>
      <w:pPr>
        <w:spacing w:before="0" w:after="130"/>
        <w:ind w:left="720"/>
      </w:pPr>
      <w:r>
        <w:rPr>
          <w:rFonts w:ascii="Times New Roman" w:cs="Times New Roman" w:eastAsia="Times New Roman" w:hAnsi="Times New Roman"/>
          <w:color w:val="333333"/>
          <w:sz w:val="22"/>
          <w:szCs w:val="22"/>
        </w:rPr>
        <w:t xml:space="preserve">(a) Failure to Pay: failure by a party to make any payment when due, not remedied within 3 Business Days of notice;</w:t>
      </w:r>
    </w:p>
    <w:p>
      <w:pPr>
        <w:spacing w:before="0" w:after="130"/>
        <w:ind w:left="720"/>
      </w:pPr>
      <w:r>
        <w:rPr>
          <w:rFonts w:ascii="Times New Roman" w:cs="Times New Roman" w:eastAsia="Times New Roman" w:hAnsi="Times New Roman"/>
          <w:color w:val="333333"/>
          <w:sz w:val="22"/>
          <w:szCs w:val="22"/>
        </w:rPr>
        <w:t xml:space="preserve">(b) Failure to Deliver: failure by a party to make any Delivery when due, not remedied within 5 Business Days of notice;</w:t>
      </w:r>
    </w:p>
    <w:p>
      <w:pPr>
        <w:spacing w:before="0" w:after="130"/>
        <w:ind w:left="720"/>
      </w:pPr>
      <w:r>
        <w:rPr>
          <w:rFonts w:ascii="Times New Roman" w:cs="Times New Roman" w:eastAsia="Times New Roman" w:hAnsi="Times New Roman"/>
          <w:color w:val="333333"/>
          <w:sz w:val="22"/>
          <w:szCs w:val="22"/>
        </w:rPr>
        <w:t xml:space="preserve">(c) Breach of Representation: any representation made by a party proves to have been materially incorrect when made;</w:t>
      </w:r>
    </w:p>
    <w:p>
      <w:pPr>
        <w:spacing w:before="0" w:after="130"/>
        <w:ind w:left="720"/>
      </w:pPr>
      <w:r>
        <w:rPr>
          <w:rFonts w:ascii="Times New Roman" w:cs="Times New Roman" w:eastAsia="Times New Roman" w:hAnsi="Times New Roman"/>
          <w:color w:val="333333"/>
          <w:sz w:val="22"/>
          <w:szCs w:val="22"/>
        </w:rPr>
        <w:t xml:space="preserve">(d) Breach of Covenant: failure to comply with any material obligation, not remedied within 15 Business Days;</w:t>
      </w:r>
    </w:p>
    <w:p>
      <w:pPr>
        <w:spacing w:before="0" w:after="130"/>
        <w:ind w:left="720"/>
      </w:pPr>
      <w:r>
        <w:rPr>
          <w:rFonts w:ascii="Times New Roman" w:cs="Times New Roman" w:eastAsia="Times New Roman" w:hAnsi="Times New Roman"/>
          <w:color w:val="333333"/>
          <w:sz w:val="22"/>
          <w:szCs w:val="22"/>
        </w:rPr>
        <w:t xml:space="preserve">(e) Insolvency: a party becomes insolvent, enters liquidation, or has a receiver appointed;</w:t>
      </w:r>
    </w:p>
    <w:p>
      <w:pPr>
        <w:spacing w:before="0" w:after="130"/>
        <w:ind w:left="720"/>
      </w:pPr>
      <w:r>
        <w:rPr>
          <w:rFonts w:ascii="Times New Roman" w:cs="Times New Roman" w:eastAsia="Times New Roman" w:hAnsi="Times New Roman"/>
          <w:color w:val="333333"/>
          <w:sz w:val="22"/>
          <w:szCs w:val="22"/>
        </w:rPr>
        <w:t xml:space="preserve">(f) Cross-Default: default under any other agreement exceeding USD 500,000;</w:t>
      </w:r>
    </w:p>
    <w:p>
      <w:pPr>
        <w:spacing w:before="0" w:after="130"/>
        <w:ind w:left="720"/>
      </w:pPr>
      <w:r>
        <w:rPr>
          <w:rFonts w:ascii="Times New Roman" w:cs="Times New Roman" w:eastAsia="Times New Roman" w:hAnsi="Times New Roman"/>
          <w:color w:val="333333"/>
          <w:sz w:val="22"/>
          <w:szCs w:val="22"/>
        </w:rPr>
        <w:t xml:space="preserve">(g) Sanctions: a party becomes subject to sanctions prohibiting continued performance;</w:t>
      </w:r>
    </w:p>
    <w:p>
      <w:pPr>
        <w:spacing w:before="0" w:after="130"/>
        <w:ind w:left="720"/>
      </w:pPr>
      <w:r>
        <w:rPr>
          <w:rFonts w:ascii="Times New Roman" w:cs="Times New Roman" w:eastAsia="Times New Roman" w:hAnsi="Times New Roman"/>
          <w:color w:val="333333"/>
          <w:sz w:val="22"/>
          <w:szCs w:val="22"/>
        </w:rPr>
        <w:t xml:space="preserve">(h) Registry Suspension: a party's Registry Account is suspended or revoked;</w:t>
      </w:r>
    </w:p>
    <w:p>
      <w:pPr>
        <w:spacing w:before="0" w:after="130"/>
        <w:ind w:left="720"/>
      </w:pPr>
      <w:r>
        <w:rPr>
          <w:rFonts w:ascii="Times New Roman" w:cs="Times New Roman" w:eastAsia="Times New Roman" w:hAnsi="Times New Roman"/>
          <w:color w:val="333333"/>
          <w:sz w:val="22"/>
          <w:szCs w:val="22"/>
        </w:rPr>
        <w:t xml:space="preserve">(i) Collateral Default: failure to deliver required collateral within 2 Business Days.</w:t>
      </w:r>
    </w:p>
    <w:p>
      <w:pPr>
        <w:spacing w:before="200" w:after="130"/>
        <w:ind w:left="360"/>
      </w:pPr>
      <w:r>
        <w:rPr>
          <w:rFonts w:ascii="Times New Roman" w:cs="Times New Roman" w:eastAsia="Times New Roman" w:hAnsi="Times New Roman"/>
          <w:b/>
          <w:bCs/>
          <w:color w:val="2E75B6"/>
          <w:sz w:val="22"/>
          <w:szCs w:val="22"/>
        </w:rPr>
        <w:t xml:space="preserve">10.2 </w:t>
      </w:r>
      <w:r>
        <w:rPr>
          <w:rFonts w:ascii="Times New Roman" w:cs="Times New Roman" w:eastAsia="Times New Roman" w:hAnsi="Times New Roman"/>
          <w:color w:val="333333"/>
          <w:sz w:val="22"/>
          <w:szCs w:val="22"/>
        </w:rPr>
        <w:t xml:space="preserve">Early Termination. Upon an Event of Default, the Non-Defaulting Party may, by not more than 20 days' notice:</w:t>
      </w:r>
    </w:p>
    <w:p>
      <w:pPr>
        <w:spacing w:before="0" w:after="130"/>
        <w:ind w:left="720"/>
      </w:pPr>
      <w:r>
        <w:rPr>
          <w:rFonts w:ascii="Times New Roman" w:cs="Times New Roman" w:eastAsia="Times New Roman" w:hAnsi="Times New Roman"/>
          <w:color w:val="333333"/>
          <w:sz w:val="22"/>
          <w:szCs w:val="22"/>
        </w:rPr>
        <w:t xml:space="preserve">(a) designate an Early Termination Date for all outstanding Transactions;</w:t>
      </w:r>
    </w:p>
    <w:p>
      <w:pPr>
        <w:spacing w:before="0" w:after="130"/>
        <w:ind w:left="720"/>
      </w:pPr>
      <w:r>
        <w:rPr>
          <w:rFonts w:ascii="Times New Roman" w:cs="Times New Roman" w:eastAsia="Times New Roman" w:hAnsi="Times New Roman"/>
          <w:color w:val="333333"/>
          <w:sz w:val="22"/>
          <w:szCs w:val="22"/>
        </w:rPr>
        <w:t xml:space="preserve">(b) calculate the Close-Out Amount for each Terminated Transaction;</w:t>
      </w:r>
    </w:p>
    <w:p>
      <w:pPr>
        <w:spacing w:before="0" w:after="130"/>
        <w:ind w:left="720"/>
      </w:pPr>
      <w:r>
        <w:rPr>
          <w:rFonts w:ascii="Times New Roman" w:cs="Times New Roman" w:eastAsia="Times New Roman" w:hAnsi="Times New Roman"/>
          <w:color w:val="333333"/>
          <w:sz w:val="22"/>
          <w:szCs w:val="22"/>
        </w:rPr>
        <w:t xml:space="preserve">(c) apply close-out netting and set-off to determine a single net amount payable.</w:t>
      </w:r>
    </w:p>
    <w:p>
      <w:pPr>
        <w:spacing w:before="200" w:after="130"/>
        <w:ind w:left="360"/>
      </w:pPr>
      <w:r>
        <w:rPr>
          <w:rFonts w:ascii="Times New Roman" w:cs="Times New Roman" w:eastAsia="Times New Roman" w:hAnsi="Times New Roman"/>
          <w:b/>
          <w:bCs/>
          <w:color w:val="2E75B6"/>
          <w:sz w:val="22"/>
          <w:szCs w:val="22"/>
        </w:rPr>
        <w:t xml:space="preserve">10.3 </w:t>
      </w:r>
      <w:r>
        <w:rPr>
          <w:rFonts w:ascii="Times New Roman" w:cs="Times New Roman" w:eastAsia="Times New Roman" w:hAnsi="Times New Roman"/>
          <w:color w:val="333333"/>
          <w:sz w:val="22"/>
          <w:szCs w:val="22"/>
        </w:rPr>
        <w:t xml:space="preserve">Close-Out Amount. The Close-Out Amount for each Terminated Transaction shall be the amount of loss or gain that would be incurred by the Non-Defaulting Party in replacing or providing the economic equivalent of the material terms.</w:t>
      </w:r>
    </w:p>
    <w:p>
      <w:pPr>
        <w:spacing w:before="200" w:after="130"/>
        <w:ind w:left="360"/>
      </w:pPr>
      <w:r>
        <w:rPr>
          <w:rFonts w:ascii="Times New Roman" w:cs="Times New Roman" w:eastAsia="Times New Roman" w:hAnsi="Times New Roman"/>
          <w:b/>
          <w:bCs/>
          <w:color w:val="2E75B6"/>
          <w:sz w:val="22"/>
          <w:szCs w:val="22"/>
        </w:rPr>
        <w:t xml:space="preserve">10.4 </w:t>
      </w:r>
      <w:r>
        <w:rPr>
          <w:rFonts w:ascii="Times New Roman" w:cs="Times New Roman" w:eastAsia="Times New Roman" w:hAnsi="Times New Roman"/>
          <w:color w:val="333333"/>
          <w:sz w:val="22"/>
          <w:szCs w:val="22"/>
        </w:rPr>
        <w:t xml:space="preserve">Default Rate. Any amount unpaid after the due date shall bear interest at the Default Rate, being SOFR plus 4% per annum.</w:t>
      </w:r>
    </w:p>
    <w:p>
      <w:r>
        <w:br w:type="page"/>
      </w:r>
    </w:p>
    <w:p>
      <w:pPr>
        <w:spacing w:before="400" w:after="200"/>
      </w:pPr>
      <w:r>
        <w:rPr>
          <w:rFonts w:ascii="Times New Roman" w:cs="Times New Roman" w:eastAsia="Times New Roman" w:hAnsi="Times New Roman"/>
          <w:b/>
          <w:bCs/>
          <w:caps/>
          <w:color w:val="1B2A4A"/>
          <w:sz w:val="24"/>
          <w:szCs w:val="24"/>
        </w:rPr>
        <w:t xml:space="preserve">ARTICLE 11 — FORCE MAJEURE</w:t>
      </w:r>
    </w:p>
    <w:p>
      <w:pPr>
        <w:spacing w:before="200" w:after="130"/>
        <w:ind w:left="360"/>
      </w:pPr>
      <w:r>
        <w:rPr>
          <w:rFonts w:ascii="Times New Roman" w:cs="Times New Roman" w:eastAsia="Times New Roman" w:hAnsi="Times New Roman"/>
          <w:b/>
          <w:bCs/>
          <w:color w:val="2E75B6"/>
          <w:sz w:val="22"/>
          <w:szCs w:val="22"/>
        </w:rPr>
        <w:t xml:space="preserve">11.1 </w:t>
      </w:r>
      <w:r>
        <w:rPr>
          <w:rFonts w:ascii="Times New Roman" w:cs="Times New Roman" w:eastAsia="Times New Roman" w:hAnsi="Times New Roman"/>
          <w:color w:val="333333"/>
          <w:sz w:val="22"/>
          <w:szCs w:val="22"/>
        </w:rPr>
        <w:t xml:space="preserve">Neither party shall be liable for failure to perform if prevented by a Force Majeure Event, including:</w:t>
      </w:r>
    </w:p>
    <w:p>
      <w:pPr>
        <w:spacing w:before="0" w:after="130"/>
        <w:ind w:left="720"/>
      </w:pPr>
      <w:r>
        <w:rPr>
          <w:rFonts w:ascii="Times New Roman" w:cs="Times New Roman" w:eastAsia="Times New Roman" w:hAnsi="Times New Roman"/>
          <w:color w:val="333333"/>
          <w:sz w:val="22"/>
          <w:szCs w:val="22"/>
        </w:rPr>
        <w:t xml:space="preserve">(a) war, armed conflict, terrorism, or civil unrest;</w:t>
      </w:r>
    </w:p>
    <w:p>
      <w:pPr>
        <w:spacing w:before="0" w:after="130"/>
        <w:ind w:left="720"/>
      </w:pPr>
      <w:r>
        <w:rPr>
          <w:rFonts w:ascii="Times New Roman" w:cs="Times New Roman" w:eastAsia="Times New Roman" w:hAnsi="Times New Roman"/>
          <w:color w:val="333333"/>
          <w:sz w:val="22"/>
          <w:szCs w:val="22"/>
        </w:rPr>
        <w:t xml:space="preserve">(b) natural disaster, pandemic, or epidemic;</w:t>
      </w:r>
    </w:p>
    <w:p>
      <w:pPr>
        <w:spacing w:before="0" w:after="130"/>
        <w:ind w:left="720"/>
      </w:pPr>
      <w:r>
        <w:rPr>
          <w:rFonts w:ascii="Times New Roman" w:cs="Times New Roman" w:eastAsia="Times New Roman" w:hAnsi="Times New Roman"/>
          <w:color w:val="333333"/>
          <w:sz w:val="22"/>
          <w:szCs w:val="22"/>
        </w:rPr>
        <w:t xml:space="preserve">(c) government action, sanctions, or embargo;</w:t>
      </w:r>
    </w:p>
    <w:p>
      <w:pPr>
        <w:spacing w:before="0" w:after="130"/>
        <w:ind w:left="720"/>
      </w:pPr>
      <w:r>
        <w:rPr>
          <w:rFonts w:ascii="Times New Roman" w:cs="Times New Roman" w:eastAsia="Times New Roman" w:hAnsi="Times New Roman"/>
          <w:color w:val="333333"/>
          <w:sz w:val="22"/>
          <w:szCs w:val="22"/>
        </w:rPr>
        <w:t xml:space="preserve">(d) failure or disruption of a Registry or exchange;</w:t>
      </w:r>
    </w:p>
    <w:p>
      <w:pPr>
        <w:spacing w:before="0" w:after="130"/>
        <w:ind w:left="720"/>
      </w:pPr>
      <w:r>
        <w:rPr>
          <w:rFonts w:ascii="Times New Roman" w:cs="Times New Roman" w:eastAsia="Times New Roman" w:hAnsi="Times New Roman"/>
          <w:color w:val="333333"/>
          <w:sz w:val="22"/>
          <w:szCs w:val="22"/>
        </w:rPr>
        <w:t xml:space="preserve">(e) failure or disruption of banking systems or payment infrastructure.</w:t>
      </w:r>
    </w:p>
    <w:p>
      <w:pPr>
        <w:spacing w:before="200" w:after="130"/>
        <w:ind w:left="360"/>
      </w:pPr>
      <w:r>
        <w:rPr>
          <w:rFonts w:ascii="Times New Roman" w:cs="Times New Roman" w:eastAsia="Times New Roman" w:hAnsi="Times New Roman"/>
          <w:b/>
          <w:bCs/>
          <w:color w:val="2E75B6"/>
          <w:sz w:val="22"/>
          <w:szCs w:val="22"/>
        </w:rPr>
        <w:t xml:space="preserve">11.2 </w:t>
      </w:r>
      <w:r>
        <w:rPr>
          <w:rFonts w:ascii="Times New Roman" w:cs="Times New Roman" w:eastAsia="Times New Roman" w:hAnsi="Times New Roman"/>
          <w:color w:val="333333"/>
          <w:sz w:val="22"/>
          <w:szCs w:val="22"/>
        </w:rPr>
        <w:t xml:space="preserve">The affected party shall notify the other within 2 Business Days and use reasonable endeavours to mitigate the effect.</w:t>
      </w:r>
    </w:p>
    <w:p>
      <w:pPr>
        <w:spacing w:before="200" w:after="130"/>
        <w:ind w:left="360"/>
      </w:pPr>
      <w:r>
        <w:rPr>
          <w:rFonts w:ascii="Times New Roman" w:cs="Times New Roman" w:eastAsia="Times New Roman" w:hAnsi="Times New Roman"/>
          <w:b/>
          <w:bCs/>
          <w:color w:val="2E75B6"/>
          <w:sz w:val="22"/>
          <w:szCs w:val="22"/>
        </w:rPr>
        <w:t xml:space="preserve">11.3 </w:t>
      </w:r>
      <w:r>
        <w:rPr>
          <w:rFonts w:ascii="Times New Roman" w:cs="Times New Roman" w:eastAsia="Times New Roman" w:hAnsi="Times New Roman"/>
          <w:color w:val="333333"/>
          <w:sz w:val="22"/>
          <w:szCs w:val="22"/>
        </w:rPr>
        <w:t xml:space="preserve">If a Force Majeure Event continues for more than 30 Business Days, either party may terminate affected Transactions.</w:t>
      </w:r>
    </w:p>
    <w:p>
      <w:pPr>
        <w:spacing w:before="400" w:after="200"/>
      </w:pPr>
      <w:r>
        <w:rPr>
          <w:rFonts w:ascii="Times New Roman" w:cs="Times New Roman" w:eastAsia="Times New Roman" w:hAnsi="Times New Roman"/>
          <w:b/>
          <w:bCs/>
          <w:caps/>
          <w:color w:val="1B2A4A"/>
          <w:sz w:val="24"/>
          <w:szCs w:val="24"/>
        </w:rPr>
        <w:t xml:space="preserve">ARTICLE 12 — CONFIDENTIALITY</w:t>
      </w:r>
    </w:p>
    <w:p>
      <w:pPr>
        <w:spacing w:before="200" w:after="130"/>
        <w:ind w:left="360"/>
      </w:pPr>
      <w:r>
        <w:rPr>
          <w:rFonts w:ascii="Times New Roman" w:cs="Times New Roman" w:eastAsia="Times New Roman" w:hAnsi="Times New Roman"/>
          <w:b/>
          <w:bCs/>
          <w:color w:val="2E75B6"/>
          <w:sz w:val="22"/>
          <w:szCs w:val="22"/>
        </w:rPr>
        <w:t xml:space="preserve">12.1 </w:t>
      </w:r>
      <w:r>
        <w:rPr>
          <w:rFonts w:ascii="Times New Roman" w:cs="Times New Roman" w:eastAsia="Times New Roman" w:hAnsi="Times New Roman"/>
          <w:color w:val="333333"/>
          <w:sz w:val="22"/>
          <w:szCs w:val="22"/>
        </w:rPr>
        <w:t xml:space="preserve">Each party shall treat as confidential all information received from the other in connection with this Agreement, subject to the exceptions in the Non-Disclosure Agreement (Ref: NIHA-NDA-2025-001).</w:t>
      </w:r>
    </w:p>
    <w:p>
      <w:pPr>
        <w:spacing w:before="200" w:after="130"/>
        <w:ind w:left="360"/>
      </w:pPr>
      <w:r>
        <w:rPr>
          <w:rFonts w:ascii="Times New Roman" w:cs="Times New Roman" w:eastAsia="Times New Roman" w:hAnsi="Times New Roman"/>
          <w:b/>
          <w:bCs/>
          <w:color w:val="2E75B6"/>
          <w:sz w:val="22"/>
          <w:szCs w:val="22"/>
        </w:rPr>
        <w:t xml:space="preserve">12.2 </w:t>
      </w:r>
      <w:r>
        <w:rPr>
          <w:rFonts w:ascii="Times New Roman" w:cs="Times New Roman" w:eastAsia="Times New Roman" w:hAnsi="Times New Roman"/>
          <w:color w:val="333333"/>
          <w:sz w:val="22"/>
          <w:szCs w:val="22"/>
        </w:rPr>
        <w:t xml:space="preserve">Notwithstanding the foregoing, each party may disclose information:</w:t>
      </w:r>
    </w:p>
    <w:p>
      <w:pPr>
        <w:spacing w:before="0" w:after="130"/>
        <w:ind w:left="720"/>
      </w:pPr>
      <w:r>
        <w:rPr>
          <w:rFonts w:ascii="Times New Roman" w:cs="Times New Roman" w:eastAsia="Times New Roman" w:hAnsi="Times New Roman"/>
          <w:color w:val="333333"/>
          <w:sz w:val="22"/>
          <w:szCs w:val="22"/>
        </w:rPr>
        <w:t xml:space="preserve">(a) to the extent required by applicable law, regulation, or court order;</w:t>
      </w:r>
    </w:p>
    <w:p>
      <w:pPr>
        <w:spacing w:before="0" w:after="130"/>
        <w:ind w:left="720"/>
      </w:pPr>
      <w:r>
        <w:rPr>
          <w:rFonts w:ascii="Times New Roman" w:cs="Times New Roman" w:eastAsia="Times New Roman" w:hAnsi="Times New Roman"/>
          <w:color w:val="333333"/>
          <w:sz w:val="22"/>
          <w:szCs w:val="22"/>
        </w:rPr>
        <w:t xml:space="preserve">(b) to its professional advisors, auditors, and insurers on a need-to-know basis;</w:t>
      </w:r>
    </w:p>
    <w:p>
      <w:pPr>
        <w:spacing w:before="0" w:after="130"/>
        <w:ind w:left="720"/>
      </w:pPr>
      <w:r>
        <w:rPr>
          <w:rFonts w:ascii="Times New Roman" w:cs="Times New Roman" w:eastAsia="Times New Roman" w:hAnsi="Times New Roman"/>
          <w:color w:val="333333"/>
          <w:sz w:val="22"/>
          <w:szCs w:val="22"/>
        </w:rPr>
        <w:t xml:space="preserve">(c) to any regulatory authority having jurisdiction;</w:t>
      </w:r>
    </w:p>
    <w:p>
      <w:pPr>
        <w:spacing w:before="0" w:after="130"/>
        <w:ind w:left="720"/>
      </w:pPr>
      <w:r>
        <w:rPr>
          <w:rFonts w:ascii="Times New Roman" w:cs="Times New Roman" w:eastAsia="Times New Roman" w:hAnsi="Times New Roman"/>
          <w:color w:val="333333"/>
          <w:sz w:val="22"/>
          <w:szCs w:val="22"/>
        </w:rPr>
        <w:t xml:space="preserve">(d) with the prior written consent of the other party.</w:t>
      </w:r>
    </w:p>
    <w:p>
      <w:pPr>
        <w:spacing w:before="400" w:after="200"/>
      </w:pPr>
      <w:r>
        <w:rPr>
          <w:rFonts w:ascii="Times New Roman" w:cs="Times New Roman" w:eastAsia="Times New Roman" w:hAnsi="Times New Roman"/>
          <w:b/>
          <w:bCs/>
          <w:caps/>
          <w:color w:val="1B2A4A"/>
          <w:sz w:val="24"/>
          <w:szCs w:val="24"/>
        </w:rPr>
        <w:t xml:space="preserve">ARTICLE 13 — COMPLIANCE AND REGULATORY</w:t>
      </w:r>
    </w:p>
    <w:p>
      <w:pPr>
        <w:spacing w:before="200" w:after="130"/>
        <w:ind w:left="360"/>
      </w:pPr>
      <w:r>
        <w:rPr>
          <w:rFonts w:ascii="Times New Roman" w:cs="Times New Roman" w:eastAsia="Times New Roman" w:hAnsi="Times New Roman"/>
          <w:b/>
          <w:bCs/>
          <w:color w:val="2E75B6"/>
          <w:sz w:val="22"/>
          <w:szCs w:val="22"/>
        </w:rPr>
        <w:t xml:space="preserve">13.1 </w:t>
      </w:r>
      <w:r>
        <w:rPr>
          <w:rFonts w:ascii="Times New Roman" w:cs="Times New Roman" w:eastAsia="Times New Roman" w:hAnsi="Times New Roman"/>
          <w:color w:val="333333"/>
          <w:sz w:val="22"/>
          <w:szCs w:val="22"/>
        </w:rPr>
        <w:t xml:space="preserve">Each party shall comply with all applicable anti-money laundering and counter-terrorist financing laws, including the applicable anti-money laundering and counter-terrorist financing legislation in Hong Kong and the Organised and Serious Crimes Ordinance .</w:t>
      </w:r>
    </w:p>
    <w:p>
      <w:pPr>
        <w:spacing w:before="200" w:after="130"/>
        <w:ind w:left="360"/>
      </w:pPr>
      <w:r>
        <w:rPr>
          <w:rFonts w:ascii="Times New Roman" w:cs="Times New Roman" w:eastAsia="Times New Roman" w:hAnsi="Times New Roman"/>
          <w:b/>
          <w:bCs/>
          <w:color w:val="2E75B6"/>
          <w:sz w:val="22"/>
          <w:szCs w:val="22"/>
        </w:rPr>
        <w:t xml:space="preserve">13.2 </w:t>
      </w:r>
      <w:r>
        <w:rPr>
          <w:rFonts w:ascii="Times New Roman" w:cs="Times New Roman" w:eastAsia="Times New Roman" w:hAnsi="Times New Roman"/>
          <w:color w:val="333333"/>
          <w:sz w:val="22"/>
          <w:szCs w:val="22"/>
        </w:rPr>
        <w:t xml:space="preserve">Each party shall maintain records of all Transactions for a minimum of 7 years.</w:t>
      </w:r>
    </w:p>
    <w:p>
      <w:pPr>
        <w:spacing w:before="200" w:after="130"/>
        <w:ind w:left="360"/>
      </w:pPr>
      <w:r>
        <w:rPr>
          <w:rFonts w:ascii="Times New Roman" w:cs="Times New Roman" w:eastAsia="Times New Roman" w:hAnsi="Times New Roman"/>
          <w:b/>
          <w:bCs/>
          <w:color w:val="2E75B6"/>
          <w:sz w:val="22"/>
          <w:szCs w:val="22"/>
        </w:rPr>
        <w:t xml:space="preserve">13.3 </w:t>
      </w:r>
      <w:r>
        <w:rPr>
          <w:rFonts w:ascii="Times New Roman" w:cs="Times New Roman" w:eastAsia="Times New Roman" w:hAnsi="Times New Roman"/>
          <w:color w:val="333333"/>
          <w:sz w:val="22"/>
          <w:szCs w:val="22"/>
        </w:rPr>
        <w:t xml:space="preserve">Party A shall conduct ongoing monitoring and periodic review of Party B in accordance with its Compliance Policy Manual (Ref: NIHA-CPM-2025-001) and Counterparty Risk Assessment Framework (Ref: NIHA-RISK-2026-001).</w:t>
      </w:r>
    </w:p>
    <w:p>
      <w:pPr>
        <w:spacing w:before="400" w:after="200"/>
      </w:pPr>
      <w:r>
        <w:rPr>
          <w:rFonts w:ascii="Times New Roman" w:cs="Times New Roman" w:eastAsia="Times New Roman" w:hAnsi="Times New Roman"/>
          <w:b/>
          <w:bCs/>
          <w:caps/>
          <w:color w:val="1B2A4A"/>
          <w:sz w:val="24"/>
          <w:szCs w:val="24"/>
        </w:rPr>
        <w:t xml:space="preserve">ARTICLE 14 — GOVERNING LAW AND DISPUTE RESOLUTION</w:t>
      </w:r>
    </w:p>
    <w:p>
      <w:pPr>
        <w:spacing w:before="200" w:after="130"/>
        <w:ind w:left="360"/>
      </w:pPr>
      <w:r>
        <w:rPr>
          <w:rFonts w:ascii="Times New Roman" w:cs="Times New Roman" w:eastAsia="Times New Roman" w:hAnsi="Times New Roman"/>
          <w:b/>
          <w:bCs/>
          <w:color w:val="2E75B6"/>
          <w:sz w:val="22"/>
          <w:szCs w:val="22"/>
        </w:rPr>
        <w:t xml:space="preserve">14.1 </w:t>
      </w:r>
      <w:r>
        <w:rPr>
          <w:rFonts w:ascii="Times New Roman" w:cs="Times New Roman" w:eastAsia="Times New Roman" w:hAnsi="Times New Roman"/>
          <w:color w:val="333333"/>
          <w:sz w:val="22"/>
          <w:szCs w:val="22"/>
        </w:rPr>
        <w:t xml:space="preserve">This Agreement shall be governed by and construed in accordance with the laws of the Hong Kong Special Administrative Region.</w:t>
      </w:r>
    </w:p>
    <w:p>
      <w:pPr>
        <w:spacing w:before="200" w:after="130"/>
        <w:ind w:left="360"/>
      </w:pPr>
      <w:r>
        <w:rPr>
          <w:rFonts w:ascii="Times New Roman" w:cs="Times New Roman" w:eastAsia="Times New Roman" w:hAnsi="Times New Roman"/>
          <w:b/>
          <w:bCs/>
          <w:color w:val="2E75B6"/>
          <w:sz w:val="22"/>
          <w:szCs w:val="22"/>
        </w:rPr>
        <w:t xml:space="preserve">14.2 </w:t>
      </w:r>
      <w:r>
        <w:rPr>
          <w:rFonts w:ascii="Times New Roman" w:cs="Times New Roman" w:eastAsia="Times New Roman" w:hAnsi="Times New Roman"/>
          <w:color w:val="333333"/>
          <w:sz w:val="22"/>
          <w:szCs w:val="22"/>
        </w:rPr>
        <w:t xml:space="preserve">Any dispute arising out of or in connection with this Agreement, including any question regarding its existence, validity, or termination, shall be referred to and finally resolved by arbitration administered by the Hong Kong International Arbitration Centre ("HKIAC") under the HKIAC Administered Arbitration Rules in force at the time of the arbitration.</w:t>
      </w:r>
    </w:p>
    <w:p>
      <w:pPr>
        <w:spacing w:before="200" w:after="130"/>
        <w:ind w:left="360"/>
      </w:pPr>
      <w:r>
        <w:rPr>
          <w:rFonts w:ascii="Times New Roman" w:cs="Times New Roman" w:eastAsia="Times New Roman" w:hAnsi="Times New Roman"/>
          <w:b/>
          <w:bCs/>
          <w:color w:val="2E75B6"/>
          <w:sz w:val="22"/>
          <w:szCs w:val="22"/>
        </w:rPr>
        <w:t xml:space="preserve">14.3 </w:t>
      </w:r>
      <w:r>
        <w:rPr>
          <w:rFonts w:ascii="Times New Roman" w:cs="Times New Roman" w:eastAsia="Times New Roman" w:hAnsi="Times New Roman"/>
          <w:color w:val="333333"/>
          <w:sz w:val="22"/>
          <w:szCs w:val="22"/>
        </w:rPr>
        <w:t xml:space="preserve">The arbitral tribunal shall consist of three arbitrators. The seat of arbitration shall be Hong Kong. The language of the arbitration shall be English.</w:t>
      </w:r>
    </w:p>
    <w:p>
      <w:pPr>
        <w:spacing w:before="200" w:after="130"/>
        <w:ind w:left="360"/>
      </w:pPr>
      <w:r>
        <w:rPr>
          <w:rFonts w:ascii="Times New Roman" w:cs="Times New Roman" w:eastAsia="Times New Roman" w:hAnsi="Times New Roman"/>
          <w:b/>
          <w:bCs/>
          <w:color w:val="2E75B6"/>
          <w:sz w:val="22"/>
          <w:szCs w:val="22"/>
        </w:rPr>
        <w:t xml:space="preserve">14.4 </w:t>
      </w:r>
      <w:r>
        <w:rPr>
          <w:rFonts w:ascii="Times New Roman" w:cs="Times New Roman" w:eastAsia="Times New Roman" w:hAnsi="Times New Roman"/>
          <w:color w:val="333333"/>
          <w:sz w:val="22"/>
          <w:szCs w:val="22"/>
        </w:rPr>
        <w:t xml:space="preserve">The parties agree that the arbitral award shall be final and binding, and judgment may be entered upon it in any court having jurisdiction.</w:t>
      </w:r>
    </w:p>
    <w:p>
      <w:pPr>
        <w:spacing w:before="400" w:after="200"/>
      </w:pPr>
      <w:r>
        <w:rPr>
          <w:rFonts w:ascii="Times New Roman" w:cs="Times New Roman" w:eastAsia="Times New Roman" w:hAnsi="Times New Roman"/>
          <w:b/>
          <w:bCs/>
          <w:caps/>
          <w:color w:val="1B2A4A"/>
          <w:sz w:val="24"/>
          <w:szCs w:val="24"/>
        </w:rPr>
        <w:t xml:space="preserve">ARTICLE 15 — MISCELLANEOUS</w:t>
      </w:r>
    </w:p>
    <w:p>
      <w:pPr>
        <w:spacing w:before="200" w:after="130"/>
        <w:ind w:left="360"/>
      </w:pPr>
      <w:r>
        <w:rPr>
          <w:rFonts w:ascii="Times New Roman" w:cs="Times New Roman" w:eastAsia="Times New Roman" w:hAnsi="Times New Roman"/>
          <w:b/>
          <w:bCs/>
          <w:color w:val="2E75B6"/>
          <w:sz w:val="22"/>
          <w:szCs w:val="22"/>
        </w:rPr>
        <w:t xml:space="preserve">15.1 </w:t>
      </w:r>
      <w:r>
        <w:rPr>
          <w:rFonts w:ascii="Times New Roman" w:cs="Times New Roman" w:eastAsia="Times New Roman" w:hAnsi="Times New Roman"/>
          <w:color w:val="333333"/>
          <w:sz w:val="22"/>
          <w:szCs w:val="22"/>
        </w:rPr>
        <w:t xml:space="preserve">Entire Agreement. This Agreement (together with all Confirmations and Schedules) constitutes the entire agreement between the parties.</w:t>
      </w:r>
    </w:p>
    <w:p>
      <w:pPr>
        <w:spacing w:before="200" w:after="130"/>
        <w:ind w:left="360"/>
      </w:pPr>
      <w:r>
        <w:rPr>
          <w:rFonts w:ascii="Times New Roman" w:cs="Times New Roman" w:eastAsia="Times New Roman" w:hAnsi="Times New Roman"/>
          <w:b/>
          <w:bCs/>
          <w:color w:val="2E75B6"/>
          <w:sz w:val="22"/>
          <w:szCs w:val="22"/>
        </w:rPr>
        <w:t xml:space="preserve">15.2 </w:t>
      </w:r>
      <w:r>
        <w:rPr>
          <w:rFonts w:ascii="Times New Roman" w:cs="Times New Roman" w:eastAsia="Times New Roman" w:hAnsi="Times New Roman"/>
          <w:color w:val="333333"/>
          <w:sz w:val="22"/>
          <w:szCs w:val="22"/>
        </w:rPr>
        <w:t xml:space="preserve">Amendment. No amendment to this Agreement shall be effective unless in writing signed by both parties.</w:t>
      </w:r>
    </w:p>
    <w:p>
      <w:pPr>
        <w:spacing w:before="200" w:after="130"/>
        <w:ind w:left="360"/>
      </w:pPr>
      <w:r>
        <w:rPr>
          <w:rFonts w:ascii="Times New Roman" w:cs="Times New Roman" w:eastAsia="Times New Roman" w:hAnsi="Times New Roman"/>
          <w:b/>
          <w:bCs/>
          <w:color w:val="2E75B6"/>
          <w:sz w:val="22"/>
          <w:szCs w:val="22"/>
        </w:rPr>
        <w:t xml:space="preserve">15.3 </w:t>
      </w:r>
      <w:r>
        <w:rPr>
          <w:rFonts w:ascii="Times New Roman" w:cs="Times New Roman" w:eastAsia="Times New Roman" w:hAnsi="Times New Roman"/>
          <w:color w:val="333333"/>
          <w:sz w:val="22"/>
          <w:szCs w:val="22"/>
        </w:rPr>
        <w:t xml:space="preserve">Assignment. Neither party may assign its rights or obligations without the prior written consent of the other party.</w:t>
      </w:r>
    </w:p>
    <w:p>
      <w:pPr>
        <w:spacing w:before="200" w:after="130"/>
        <w:ind w:left="360"/>
      </w:pPr>
      <w:r>
        <w:rPr>
          <w:rFonts w:ascii="Times New Roman" w:cs="Times New Roman" w:eastAsia="Times New Roman" w:hAnsi="Times New Roman"/>
          <w:b/>
          <w:bCs/>
          <w:color w:val="2E75B6"/>
          <w:sz w:val="22"/>
          <w:szCs w:val="22"/>
        </w:rPr>
        <w:t xml:space="preserve">15.4 </w:t>
      </w:r>
      <w:r>
        <w:rPr>
          <w:rFonts w:ascii="Times New Roman" w:cs="Times New Roman" w:eastAsia="Times New Roman" w:hAnsi="Times New Roman"/>
          <w:color w:val="333333"/>
          <w:sz w:val="22"/>
          <w:szCs w:val="22"/>
        </w:rPr>
        <w:t xml:space="preserve">Waiver. No failure to exercise any right shall constitute a waiver thereof.</w:t>
      </w:r>
    </w:p>
    <w:p>
      <w:pPr>
        <w:spacing w:before="200" w:after="130"/>
        <w:ind w:left="360"/>
      </w:pPr>
      <w:r>
        <w:rPr>
          <w:rFonts w:ascii="Times New Roman" w:cs="Times New Roman" w:eastAsia="Times New Roman" w:hAnsi="Times New Roman"/>
          <w:b/>
          <w:bCs/>
          <w:color w:val="2E75B6"/>
          <w:sz w:val="22"/>
          <w:szCs w:val="22"/>
        </w:rPr>
        <w:t xml:space="preserve">15.5 </w:t>
      </w:r>
      <w:r>
        <w:rPr>
          <w:rFonts w:ascii="Times New Roman" w:cs="Times New Roman" w:eastAsia="Times New Roman" w:hAnsi="Times New Roman"/>
          <w:color w:val="333333"/>
          <w:sz w:val="22"/>
          <w:szCs w:val="22"/>
        </w:rPr>
        <w:t xml:space="preserve">Severability. If any provision is held invalid, the remaining provisions shall continue in full force and effect.</w:t>
      </w:r>
    </w:p>
    <w:p>
      <w:pPr>
        <w:spacing w:before="200" w:after="130"/>
        <w:ind w:left="360"/>
      </w:pPr>
      <w:r>
        <w:rPr>
          <w:rFonts w:ascii="Times New Roman" w:cs="Times New Roman" w:eastAsia="Times New Roman" w:hAnsi="Times New Roman"/>
          <w:b/>
          <w:bCs/>
          <w:color w:val="2E75B6"/>
          <w:sz w:val="22"/>
          <w:szCs w:val="22"/>
        </w:rPr>
        <w:t xml:space="preserve">15.6 </w:t>
      </w:r>
      <w:r>
        <w:rPr>
          <w:rFonts w:ascii="Times New Roman" w:cs="Times New Roman" w:eastAsia="Times New Roman" w:hAnsi="Times New Roman"/>
          <w:color w:val="333333"/>
          <w:sz w:val="22"/>
          <w:szCs w:val="22"/>
        </w:rPr>
        <w:t xml:space="preserve">Notices. All notices shall be in writing and delivered to the addresses specified in Schedule 1.</w:t>
      </w:r>
    </w:p>
    <w:p>
      <w:pPr>
        <w:spacing w:before="200" w:after="130"/>
        <w:ind w:left="360"/>
      </w:pPr>
      <w:r>
        <w:rPr>
          <w:rFonts w:ascii="Times New Roman" w:cs="Times New Roman" w:eastAsia="Times New Roman" w:hAnsi="Times New Roman"/>
          <w:b/>
          <w:bCs/>
          <w:color w:val="2E75B6"/>
          <w:sz w:val="22"/>
          <w:szCs w:val="22"/>
        </w:rPr>
        <w:t xml:space="preserve">15.7 </w:t>
      </w:r>
      <w:r>
        <w:rPr>
          <w:rFonts w:ascii="Times New Roman" w:cs="Times New Roman" w:eastAsia="Times New Roman" w:hAnsi="Times New Roman"/>
          <w:color w:val="333333"/>
          <w:sz w:val="22"/>
          <w:szCs w:val="22"/>
        </w:rPr>
        <w:t xml:space="preserve">Counterparts. This Agreement may be executed in counterparts, each of which shall be deemed an original.</w:t>
      </w:r>
    </w:p>
    <w:p>
      <w:pPr>
        <w:spacing w:before="400" w:after="200"/>
      </w:pPr>
      <w:r>
        <w:rPr>
          <w:rFonts w:ascii="Times New Roman" w:cs="Times New Roman" w:eastAsia="Times New Roman" w:hAnsi="Times New Roman"/>
          <w:b/>
          <w:bCs/>
          <w:caps/>
          <w:color w:val="1B2A4A"/>
          <w:sz w:val="24"/>
          <w:szCs w:val="24"/>
        </w:rPr>
        <w:t xml:space="preserve">ARTICLE 16 — SCHEDULES</w:t>
      </w:r>
    </w:p>
    <w:p>
      <w:pPr>
        <w:spacing w:before="100" w:after="130"/>
      </w:pPr>
      <w:r>
        <w:rPr>
          <w:rFonts w:ascii="Times New Roman" w:cs="Times New Roman" w:eastAsia="Times New Roman" w:hAnsi="Times New Roman"/>
          <w:color w:val="333333"/>
          <w:sz w:val="22"/>
          <w:szCs w:val="22"/>
        </w:rPr>
        <w:t xml:space="preserve">The following Schedules form part of this Agreement:</w:t>
      </w:r>
    </w:p>
    <w:p>
      <w:pPr>
        <w:spacing w:before="0" w:after="130"/>
        <w:ind w:left="360"/>
      </w:pPr>
      <w:r>
        <w:rPr>
          <w:rFonts w:ascii="Times New Roman" w:cs="Times New Roman" w:eastAsia="Times New Roman" w:hAnsi="Times New Roman"/>
          <w:b/>
          <w:bCs/>
          <w:color w:val="333333"/>
          <w:sz w:val="22"/>
          <w:szCs w:val="22"/>
        </w:rPr>
        <w:t xml:space="preserve">Schedule 1 — Party Details and Notices</w:t>
      </w:r>
    </w:p>
    <w:p>
      <w:pPr>
        <w:spacing w:before="0" w:after="130"/>
        <w:ind w:left="360"/>
      </w:pPr>
      <w:r>
        <w:rPr>
          <w:rFonts w:ascii="Times New Roman" w:cs="Times New Roman" w:eastAsia="Times New Roman" w:hAnsi="Times New Roman"/>
          <w:b/>
          <w:bCs/>
          <w:color w:val="333333"/>
          <w:sz w:val="22"/>
          <w:szCs w:val="22"/>
        </w:rPr>
        <w:t xml:space="preserve">Schedule 2 — Form of Confirmation</w:t>
      </w:r>
    </w:p>
    <w:p>
      <w:pPr>
        <w:spacing w:before="0" w:after="130"/>
        <w:ind w:left="360"/>
      </w:pPr>
      <w:r>
        <w:rPr>
          <w:rFonts w:ascii="Times New Roman" w:cs="Times New Roman" w:eastAsia="Times New Roman" w:hAnsi="Times New Roman"/>
          <w:b/>
          <w:bCs/>
          <w:color w:val="333333"/>
          <w:sz w:val="22"/>
          <w:szCs w:val="22"/>
        </w:rPr>
        <w:t xml:space="preserve">Schedule 3 — Credit Support Annex</w:t>
      </w:r>
    </w:p>
    <w:p>
      <w:pPr>
        <w:spacing w:before="0" w:after="130"/>
        <w:ind w:left="360"/>
      </w:pPr>
      <w:r>
        <w:rPr>
          <w:rFonts w:ascii="Times New Roman" w:cs="Times New Roman" w:eastAsia="Times New Roman" w:hAnsi="Times New Roman"/>
          <w:b/>
          <w:bCs/>
          <w:color w:val="333333"/>
          <w:sz w:val="22"/>
          <w:szCs w:val="22"/>
        </w:rPr>
        <w:t xml:space="preserve">Schedule 4 — Registry Account Details</w:t>
      </w:r>
    </w:p>
    <w:p>
      <w:pPr>
        <w:spacing w:before="0" w:after="130"/>
        <w:ind w:left="360"/>
      </w:pPr>
      <w:r>
        <w:rPr>
          <w:rFonts w:ascii="Times New Roman" w:cs="Times New Roman" w:eastAsia="Times New Roman" w:hAnsi="Times New Roman"/>
          <w:b/>
          <w:bCs/>
          <w:color w:val="333333"/>
          <w:sz w:val="22"/>
          <w:szCs w:val="22"/>
        </w:rPr>
        <w:t xml:space="preserve">Schedule 5 — Fee Schedule (by reference to NIHA-FEE-2026-001)</w:t>
      </w:r>
    </w:p>
    <w:p>
      <w:r>
        <w:br w:type="page"/>
      </w:r>
    </w:p>
    <w:p>
      <w:pPr>
        <w:spacing w:before="200" w:after="130"/>
      </w:pPr>
      <w:r>
        <w:rPr>
          <w:rFonts w:ascii="Times New Roman" w:cs="Times New Roman" w:eastAsia="Times New Roman" w:hAnsi="Times New Roman"/>
          <w:b/>
          <w:bCs/>
          <w:color w:val="1B2A4A"/>
          <w:sz w:val="26"/>
          <w:szCs w:val="26"/>
        </w:rPr>
        <w:t xml:space="preserve">SCHEDULE 1 — PARTY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 Full Name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 Carbon Consultancy Limited</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 Registration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Hong Kong CR No. 3187452</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 Address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Suite 2205, 22/F, Tower 2, Lippo Centre, 89 Queensway, Admiralty, Hong Kong</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 Contact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Michael T.S. Wong, Chief Executive Officer</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 Email</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m.wong@nihacarbon.com</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 Telephone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+852 3892 1000</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 EUTL Account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HK-NIHA-EUTL-2025-0001</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 CEEX Account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SZ-NIHA-CEEX-2025-0001 (SAFE Approved)</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A — Core Climate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HKEX-CC-NIHA-2025-0001</w:t>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B — Full Name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[To be completed in each Confirmation]</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B — Registration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[To be completed]</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B — Address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[To be completed]</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B — Contact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[To be completed]</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Party B — Registry Accounts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[To be completed]</w:t>
            </w:r>
          </w:p>
        </w:tc>
      </w:tr>
    </w:tbl>
    <w:p>
      <w:r>
        <w:br w:type="page"/>
      </w:r>
    </w:p>
    <w:p>
      <w:pPr>
        <w:spacing w:before="200" w:after="130"/>
      </w:pPr>
      <w:r>
        <w:rPr>
          <w:rFonts w:ascii="Times New Roman" w:cs="Times New Roman" w:eastAsia="Times New Roman" w:hAnsi="Times New Roman"/>
          <w:b/>
          <w:bCs/>
          <w:color w:val="1B2A4A"/>
          <w:sz w:val="26"/>
          <w:szCs w:val="26"/>
        </w:rPr>
        <w:t xml:space="preserve">SCHEDULE 2 — FORM OF CONFIRMATION</w:t>
      </w:r>
    </w:p>
    <w:p>
      <w:pPr>
        <w:spacing w:before="100" w:after="130"/>
      </w:pPr>
      <w:r>
        <w:rPr>
          <w:rFonts w:ascii="Times New Roman" w:cs="Times New Roman" w:eastAsia="Times New Roman" w:hAnsi="Times New Roman"/>
          <w:color w:val="333333"/>
          <w:sz w:val="22"/>
          <w:szCs w:val="22"/>
        </w:rPr>
        <w:t xml:space="preserve">Each Confirmation shall include the following minimum particulars: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Confirmation Reference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NIHA-CONF-[YYYY]-[NNNN]</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Trade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[Date]</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Effective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[Date]</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Delivery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[Date]</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Transaction Type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[Spot Purchase / Spot Sale / Forward / Conversion / Swap / Option]</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Carbon Credit Type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[EUA / CEA / VCU / GS-VER / CER / Other]</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Quantity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[Number] whole units</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Price / Conversion Ratio</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[Amount per unit / Ratio]</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Settlement Currency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 USD / CNY]</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Settlement Amount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[Total payable]</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Delivering Party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[Party A / Party B]</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Receiving Party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[Party A / Party B]</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Delivering Party Registry Account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[Account reference]</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Receiving Party Registry Account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[Account reference]</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Fee / Commission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[Amount and basis]</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Collateral Requirements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[If applicable]</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Special Conditions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[If any]</w:t>
            </w:r>
          </w:p>
        </w:tc>
      </w:tr>
    </w:tbl>
    <w:p>
      <w:r>
        <w:br w:type="page"/>
      </w:r>
    </w:p>
    <w:p>
      <w:pPr>
        <w:spacing w:before="200" w:after="130"/>
        <w:jc w:val="center"/>
      </w:pPr>
      <w:r>
        <w:rPr>
          <w:rFonts w:ascii="Times New Roman" w:cs="Times New Roman" w:eastAsia="Times New Roman" w:hAnsi="Times New Roman"/>
          <w:b/>
          <w:bCs/>
          <w:color w:val="1B2A4A"/>
          <w:sz w:val="28"/>
          <w:szCs w:val="28"/>
        </w:rPr>
        <w:t xml:space="preserve">EXECUTION</w:t>
      </w:r>
    </w:p>
    <w:p>
      <w:pPr>
        <w:pBdr>
          <w:bottom w:val="single" w:color="2E75B6" w:sz="2" w:space="10"/>
        </w:pBdr>
        <w:spacing w:before="100"/>
        <w:jc w:val="center"/>
      </w:pPr>
      <w:r>
        <w:rPr>
          <w:sz w:val="12"/>
          <w:szCs w:val="12"/>
        </w:rPr>
        <w:t xml:space="preserve"> </w:t>
      </w:r>
    </w:p>
    <w:p>
      <w:pPr>
        <w:spacing w:before="300" w:after="130"/>
      </w:pPr>
      <w:r>
        <w:rPr>
          <w:rFonts w:ascii="Times New Roman" w:cs="Times New Roman" w:eastAsia="Times New Roman" w:hAnsi="Times New Roman"/>
          <w:color w:val="333333"/>
          <w:sz w:val="22"/>
          <w:szCs w:val="22"/>
        </w:rPr>
        <w:t xml:space="preserve">IN WITNESS WHEREOF, the parties have executed this Carbon Derivatives Master Agreement as of the date first written above.</w:t>
      </w:r>
    </w:p>
    <w:p>
      <w:pPr>
        <w:spacing w:before="600"/>
      </w:pPr>
    </w:p>
    <w:p>
      <w:pPr>
        <w:spacing w:before="0" w:after="130"/>
      </w:pPr>
      <w:r>
        <w:rPr>
          <w:rFonts w:ascii="Times New Roman" w:cs="Times New Roman" w:eastAsia="Times New Roman" w:hAnsi="Times New Roman"/>
          <w:b/>
          <w:bCs/>
          <w:color w:val="1B2A4A"/>
          <w:sz w:val="22"/>
          <w:szCs w:val="22"/>
        </w:rPr>
        <w:t xml:space="preserve">FOR AND ON BEHALF OF PARTY A:</w:t>
      </w:r>
    </w:p>
    <w:p>
      <w:pPr>
        <w:spacing w:before="100" w:after="130"/>
      </w:pPr>
      <w:r>
        <w:rPr>
          <w:rFonts w:ascii="Times New Roman" w:cs="Times New Roman" w:eastAsia="Times New Roman" w:hAnsi="Times New Roman"/>
          <w:b/>
          <w:bCs/>
          <w:color w:val="333333"/>
          <w:sz w:val="22"/>
          <w:szCs w:val="22"/>
        </w:rPr>
        <w:t xml:space="preserve">NIHA Carbon Consultancy Limited</w:t>
      </w:r>
    </w:p>
    <w:p>
      <w:pPr>
        <w:spacing w:before="500"/>
      </w:pPr>
    </w:p>
    <w:p>
      <w:pPr>
        <w:spacing w:before="0" w:after="130"/>
      </w:pPr>
      <w:r>
        <w:rPr>
          <w:rFonts w:ascii="Times New Roman" w:cs="Times New Roman" w:eastAsia="Times New Roman" w:hAnsi="Times New Roman"/>
          <w:color w:val="333333"/>
          <w:sz w:val="22"/>
          <w:szCs w:val="22"/>
        </w:rPr>
        <w:t xml:space="preserve">_____________________________</w:t>
      </w:r>
    </w:p>
    <w:p>
      <w:pPr>
        <w:spacing w:before="80" w:after="130"/>
      </w:pPr>
      <w:r>
        <w:rPr>
          <w:rFonts w:ascii="Times New Roman" w:cs="Times New Roman" w:eastAsia="Times New Roman" w:hAnsi="Times New Roman"/>
          <w:color w:val="333333"/>
          <w:sz w:val="22"/>
          <w:szCs w:val="22"/>
        </w:rPr>
        <w:t xml:space="preserve">Name: Michael T.S. Wong</w:t>
      </w:r>
    </w:p>
    <w:p>
      <w:pPr>
        <w:spacing w:before="0" w:after="130"/>
      </w:pPr>
      <w:r>
        <w:rPr>
          <w:rFonts w:ascii="Times New Roman" w:cs="Times New Roman" w:eastAsia="Times New Roman" w:hAnsi="Times New Roman"/>
          <w:color w:val="333333"/>
          <w:sz w:val="22"/>
          <w:szCs w:val="22"/>
        </w:rPr>
        <w:t xml:space="preserve">Title: Chief Executive Officer</w:t>
      </w:r>
    </w:p>
    <w:p>
      <w:pPr>
        <w:spacing w:before="0" w:after="130"/>
      </w:pPr>
      <w:r>
        <w:rPr>
          <w:rFonts w:ascii="Times New Roman" w:cs="Times New Roman" w:eastAsia="Times New Roman" w:hAnsi="Times New Roman"/>
          <w:color w:val="333333"/>
          <w:sz w:val="22"/>
          <w:szCs w:val="22"/>
        </w:rPr>
        <w:t xml:space="preserve">Date: _______________</w:t>
      </w:r>
    </w:p>
    <w:p>
      <w:pPr>
        <w:spacing w:before="600"/>
      </w:pPr>
    </w:p>
    <w:p>
      <w:pPr>
        <w:spacing w:before="0" w:after="130"/>
      </w:pPr>
      <w:r>
        <w:rPr>
          <w:rFonts w:ascii="Times New Roman" w:cs="Times New Roman" w:eastAsia="Times New Roman" w:hAnsi="Times New Roman"/>
          <w:b/>
          <w:bCs/>
          <w:color w:val="1B2A4A"/>
          <w:sz w:val="22"/>
          <w:szCs w:val="22"/>
        </w:rPr>
        <w:t xml:space="preserve">FOR AND ON BEHALF OF PARTY B:</w:t>
      </w:r>
    </w:p>
    <w:p>
      <w:pPr>
        <w:spacing w:before="100" w:after="130"/>
      </w:pPr>
      <w:r>
        <w:rPr>
          <w:rFonts w:ascii="Times New Roman" w:cs="Times New Roman" w:eastAsia="Times New Roman" w:hAnsi="Times New Roman"/>
          <w:b/>
          <w:bCs/>
          <w:color w:val="333333"/>
          <w:sz w:val="22"/>
          <w:szCs w:val="22"/>
        </w:rPr>
        <w:t xml:space="preserve">[Counterparty Name]</w:t>
      </w:r>
    </w:p>
    <w:p>
      <w:pPr>
        <w:spacing w:before="500"/>
      </w:pPr>
    </w:p>
    <w:p>
      <w:pPr>
        <w:spacing w:before="0" w:after="130"/>
      </w:pPr>
      <w:r>
        <w:rPr>
          <w:rFonts w:ascii="Times New Roman" w:cs="Times New Roman" w:eastAsia="Times New Roman" w:hAnsi="Times New Roman"/>
          <w:color w:val="333333"/>
          <w:sz w:val="22"/>
          <w:szCs w:val="22"/>
        </w:rPr>
        <w:t xml:space="preserve">_____________________________</w:t>
      </w:r>
    </w:p>
    <w:p>
      <w:pPr>
        <w:spacing w:before="80" w:after="130"/>
      </w:pPr>
      <w:r>
        <w:rPr>
          <w:rFonts w:ascii="Times New Roman" w:cs="Times New Roman" w:eastAsia="Times New Roman" w:hAnsi="Times New Roman"/>
          <w:color w:val="333333"/>
          <w:sz w:val="22"/>
          <w:szCs w:val="22"/>
        </w:rPr>
        <w:t xml:space="preserve">Name: _______________</w:t>
      </w:r>
    </w:p>
    <w:p>
      <w:pPr>
        <w:spacing w:before="0" w:after="130"/>
      </w:pPr>
      <w:r>
        <w:rPr>
          <w:rFonts w:ascii="Times New Roman" w:cs="Times New Roman" w:eastAsia="Times New Roman" w:hAnsi="Times New Roman"/>
          <w:color w:val="333333"/>
          <w:sz w:val="22"/>
          <w:szCs w:val="22"/>
        </w:rPr>
        <w:t xml:space="preserve">Title: _______________</w:t>
      </w:r>
    </w:p>
    <w:p>
      <w:pPr>
        <w:spacing w:before="0" w:after="130"/>
      </w:pPr>
      <w:r>
        <w:rPr>
          <w:rFonts w:ascii="Times New Roman" w:cs="Times New Roman" w:eastAsia="Times New Roman" w:hAnsi="Times New Roman"/>
          <w:color w:val="333333"/>
          <w:sz w:val="22"/>
          <w:szCs w:val="22"/>
        </w:rPr>
        <w:t xml:space="preserve">Date: _______________</w:t>
      </w:r>
    </w:p>
    <w:p>
      <w:pPr>
        <w:spacing w:before="600"/>
      </w:pPr>
    </w:p>
    <w:p>
      <w:pPr>
        <w:spacing w:before="0" w:after="130"/>
        <w:jc w:val="center"/>
      </w:pPr>
      <w:r>
        <w:rPr>
          <w:rFonts w:ascii="Times New Roman" w:cs="Times New Roman" w:eastAsia="Times New Roman" w:hAnsi="Times New Roman"/>
          <w:b/>
          <w:bCs/>
          <w:color w:val="1B2A4A"/>
          <w:sz w:val="24"/>
          <w:szCs w:val="24"/>
        </w:rPr>
        <w:t xml:space="preserve">— END OF AGREEMENT —</w:t>
      </w:r>
    </w:p>
    <w:sectPr>
      <w:headerReference w:type="default" r:id="rId6"/>
      <w:footerReference w:type="default" r:id="rId7"/>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Times New Roman" w:cs="Times New Roman" w:eastAsia="Times New Roman" w:hAnsi="Times New Roman"/>
        <w:color w:val="666666"/>
        <w:sz w:val="15"/>
        <w:szCs w:val="15"/>
      </w:rPr>
      <w:t xml:space="preserve">NIHA Carbon Derivatives Master Agreement | CONFIDENTIAL | Page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80"/>
      <w:jc w:val="left"/>
    </w:pPr>
    <w:r>
      <w:rPr>
        <w:rFonts w:ascii="Times New Roman" w:cs="Times New Roman" w:eastAsia="Times New Roman" w:hAnsi="Times New Roman"/>
        <w:b/>
        <w:bCs/>
        <w:color w:val="1B2A4A"/>
        <w:sz w:val="16"/>
        <w:szCs w:val="16"/>
      </w:rPr>
      <w:t xml:space="preserve">CARBON DERIVATIVES MASTER AGREEMENT</w:t>
    </w:r>
    <w:r>
      <w:rPr>
        <w:rFonts w:ascii="Times New Roman" w:cs="Times New Roman" w:eastAsia="Times New Roman" w:hAnsi="Times New Roman"/>
        <w:color w:val="666666"/>
        <w:sz w:val="16"/>
        <w:szCs w:val="16"/>
      </w:rPr>
      <w:t xml:space="preserve"> | NIHA-CDMA-2026-001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2026-02-20T12:35:50.033Z</dcterms:created>
  <dcterms:modified xsi:type="dcterms:W3CDTF">2026-02-20T12:35:50.034Z</dcterms:modified>
</cp:coreProperties>
</file>

<file path=docProps/custom.xml><?xml version="1.0" encoding="utf-8"?>
<Properties xmlns="http://schemas.openxmlformats.org/officeDocument/2006/custom-properties" xmlns:vt="http://schemas.openxmlformats.org/officeDocument/2006/docPropsVTypes"/>
</file>