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Times New Roman" w:cs="Times New Roman" w:eastAsia="Times New Roman" w:hAnsi="Times New Roman"/>
          <w:b/>
          <w:bCs/>
          <w:color w:val="1B2A4A"/>
          <w:sz w:val="32"/>
          <w:szCs w:val="32"/>
        </w:rPr>
        <w:t xml:space="preserve">ITALY NIHAO GROUP LIMITED</w:t>
      </w:r>
    </w:p>
    <w:p>
      <w:pPr>
        <w:spacing w:after="100"/>
        <w:jc w:val="center"/>
      </w:pPr>
      <w:r>
        <w:rPr>
          <w:rFonts w:ascii="Times New Roman" w:cs="Times New Roman" w:eastAsia="Times New Roman" w:hAnsi="Times New Roman"/>
          <w:color w:val="2E75B6"/>
          <w:sz w:val="22"/>
          <w:szCs w:val="22"/>
        </w:rPr>
        <w:t xml:space="preserve">Carbon Markets Division</w:t>
      </w:r>
    </w:p>
    <w:p>
      <w:pPr>
        <w:pBdr>
          <w:top w:val="single" w:color="1B2A4A" w:sz="2" w:space="12"/>
          <w:bottom w:val="single" w:color="1B2A4A" w:sz="2" w:space="12"/>
        </w:pBdr>
        <w:spacing w:before="400"/>
        <w:jc w:val="center"/>
      </w:pPr>
      <w:r>
        <w:rPr>
          <w:rFonts w:ascii="Times New Roman" w:cs="Times New Roman" w:eastAsia="Times New Roman" w:hAnsi="Times New Roman"/>
          <w:b/>
          <w:bCs/>
          <w:color w:val="1B2A4A"/>
          <w:sz w:val="34"/>
          <w:szCs w:val="34"/>
        </w:rPr>
        <w:t xml:space="preserve">CARBON MARKET INTELLIGENCE REPORT</w:t>
      </w:r>
      <w:r>
        <w:rPr>
          <w:rFonts w:ascii="Times New Roman" w:cs="Times New Roman" w:eastAsia="Times New Roman" w:hAnsi="Times New Roman"/>
          <w:color w:val="2E75B6"/>
          <w:sz w:val="24"/>
          <w:szCs w:val="24"/>
        </w:rPr>
        <w:br/>
        <w:t xml:space="preserve">
Q1 2026 — Global Carbon Market Review</w:t>
      </w:r>
      <w:r>
        <w:rPr>
          <w:rFonts w:ascii="Times New Roman" w:cs="Times New Roman" w:eastAsia="Times New Roman" w:hAnsi="Times New Roman"/>
          <w:color w:val="666666"/>
          <w:sz w:val="20"/>
          <w:szCs w:val="20"/>
        </w:rPr>
        <w:br/>
        <w:t xml:space="preserve">
EU ETS | China National ETS | Shenzhen Pilot | Voluntary Markets</w:t>
      </w:r>
    </w:p>
    <w:p>
      <w:pPr>
        <w:spacing w:before="600"/>
        <w:jc w:val="center"/>
      </w:pPr>
      <w:r>
        <w:rPr>
          <w:rFonts w:ascii="Times New Roman" w:cs="Times New Roman" w:eastAsia="Times New Roman" w:hAnsi="Times New Roman"/>
          <w:color w:val="666666"/>
          <w:sz w:val="20"/>
          <w:szCs w:val="20"/>
        </w:rPr>
        <w:t xml:space="preserve">Prepared by: NIHA Research &amp; Market Intelligence Desk</w:t>
      </w:r>
      <w:r>
        <w:rPr>
          <w:rFonts w:ascii="Times New Roman" w:cs="Times New Roman" w:eastAsia="Times New Roman" w:hAnsi="Times New Roman"/>
          <w:color w:val="666666"/>
          <w:sz w:val="20"/>
          <w:szCs w:val="20"/>
        </w:rPr>
        <w:br/>
        <w:t xml:space="preserve">
Date: 18 February 2026</w:t>
      </w:r>
      <w:r>
        <w:rPr>
          <w:rFonts w:ascii="Times New Roman" w:cs="Times New Roman" w:eastAsia="Times New Roman" w:hAnsi="Times New Roman"/>
          <w:color w:val="666666"/>
          <w:sz w:val="20"/>
          <w:szCs w:val="20"/>
        </w:rPr>
        <w:br/>
        <w:t xml:space="preserve">
Classification: Client Confidential</w:t>
      </w:r>
      <w:r>
        <w:rPr>
          <w:rFonts w:ascii="Times New Roman" w:cs="Times New Roman" w:eastAsia="Times New Roman" w:hAnsi="Times New Roman"/>
          <w:color w:val="666666"/>
          <w:sz w:val="20"/>
          <w:szCs w:val="20"/>
        </w:rPr>
        <w:br/>
        <w:t xml:space="preserve">
Distribution: Authorised Clients and Internal</w:t>
      </w:r>
      <w:r>
        <w:rPr>
          <w:rFonts w:ascii="Times New Roman" w:cs="Times New Roman" w:eastAsia="Times New Roman" w:hAnsi="Times New Roman"/>
          <w:color w:val="666666"/>
          <w:sz w:val="20"/>
          <w:szCs w:val="20"/>
        </w:rPr>
        <w:br/>
        <w:t xml:space="preserve">
Report Reference: NIHA-MIR-2026-Q1-003</w:t>
      </w:r>
    </w:p>
    <w:p>
      <w:pPr>
        <w:spacing w:before="600"/>
        <w:jc w:val="center"/>
      </w:pPr>
      <w:r>
        <w:rPr>
          <w:rFonts w:ascii="Times New Roman" w:cs="Times New Roman" w:eastAsia="Times New Roman" w:hAnsi="Times New Roman"/>
          <w:i/>
          <w:iCs/>
          <w:color w:val="666666"/>
          <w:sz w:val="18"/>
          <w:szCs w:val="18"/>
        </w:rPr>
        <w:t xml:space="preserve">DISCLAIMER: This report is provided for informational purposes only and does not constitute investment advice.</w:t>
      </w:r>
      <w:r>
        <w:rPr>
          <w:rFonts w:ascii="Times New Roman" w:cs="Times New Roman" w:eastAsia="Times New Roman" w:hAnsi="Times New Roman"/>
          <w:i/>
          <w:iCs/>
          <w:color w:val="666666"/>
          <w:sz w:val="18"/>
          <w:szCs w:val="18"/>
        </w:rPr>
        <w:br/>
        <w:t xml:space="preserve">
Past performance is not indicative of future results. See full disclaimer on final page.</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EXECUTIVE SUMMARY</w:t>
      </w:r>
    </w:p>
    <w:p>
      <w:pPr>
        <w:spacing w:after="140"/>
      </w:pPr>
      <w:r>
        <w:rPr>
          <w:rFonts w:ascii="Times New Roman" w:cs="Times New Roman" w:eastAsia="Times New Roman" w:hAnsi="Times New Roman"/>
          <w:color w:val="333333"/>
          <w:sz w:val="22"/>
          <w:szCs w:val="22"/>
        </w:rPr>
        <w:t xml:space="preserve">The global carbon market entered 2026 with continued upward structural momentum, driven by tightening regulatory frameworks, expanding ETS coverage, and growing institutional demand for compliance-grade carbon instruments. NIHA’s cross-border positioning between the EU and Chinese markets provides unique visibility into pricing dynamics, arbitrage opportunities, and regulatory developments across both ecosystems.</w:t>
      </w:r>
    </w:p>
    <w:p>
      <w:pPr>
        <w:spacing w:before="280" w:after="160"/>
      </w:pPr>
      <w:r>
        <w:rPr>
          <w:rFonts w:ascii="Times New Roman" w:cs="Times New Roman" w:eastAsia="Times New Roman" w:hAnsi="Times New Roman"/>
          <w:b/>
          <w:bCs/>
          <w:color w:val="2E75B6"/>
          <w:sz w:val="24"/>
          <w:szCs w:val="24"/>
        </w:rPr>
        <w:t xml:space="preserve">Key Market Metrics — Q1 2026 (as at 14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Instrument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Current Price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Q4 2025 Close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EUA (Dec-26 Future)</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€78.40</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€72.15</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+8.7%</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EUA Spot</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€76.90</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€70.80</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+8.6%</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(Shenzhen)</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¥98.50</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¥87.20</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+12.9%</w:t>
            </w:r>
          </w:p>
        </w:tc>
      </w:tr>
      <w:tr>
        <w:tc>
          <w:tcPr>
            <w:tcW w:type="dxa" w:w="28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(National, Shanghai)</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¥102.30</w:t>
            </w:r>
          </w:p>
        </w:tc>
        <w:tc>
          <w:tcPr>
            <w:tcW w:type="dxa" w:w="22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¥94.60</w:t>
            </w:r>
          </w:p>
        </w:tc>
        <w:tc>
          <w:tcPr>
            <w:tcW w:type="dxa" w:w="21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+8.1%</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HKEX Core Climate GEO</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US$12.80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US$11.40</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+12.3%</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N-GEO (Nature-based)</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US$8.50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US$7.90</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+7.6%</w:t>
            </w:r>
          </w:p>
        </w:tc>
      </w:tr>
      <w:tr>
        <w:tc>
          <w:tcPr>
            <w:tcW w:type="dxa" w:w="28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CEA/EUA Ratio (NIHA)</w:t>
            </w:r>
          </w:p>
        </w:tc>
        <w:tc>
          <w:tcPr>
            <w:tcW w:type="dxa" w:w="2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0.1192</w:t>
            </w:r>
          </w:p>
        </w:tc>
        <w:tc>
          <w:tcPr>
            <w:tcW w:type="dxa" w:w="22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0.1145</w:t>
            </w:r>
          </w:p>
        </w:tc>
        <w:tc>
          <w:tcPr>
            <w:tcW w:type="dxa" w:w="21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+4.1%</w:t>
            </w:r>
          </w:p>
        </w:tc>
      </w:tr>
    </w:tbl>
    <w:p>
      <w:pPr>
        <w:pBdr>
          <w:left w:val="single" w:color="2E75B6" w:sz="6" w:space="8"/>
        </w:pBdr>
        <w:spacing w:after="140"/>
        <w:ind w:left="360" w:right="360"/>
      </w:pPr>
      <w:r>
        <w:rPr>
          <w:rFonts w:ascii="Times New Roman" w:cs="Times New Roman" w:eastAsia="Times New Roman" w:hAnsi="Times New Roman"/>
          <w:b/>
          <w:bCs/>
          <w:color w:val="2E75B6"/>
          <w:sz w:val="22"/>
          <w:szCs w:val="22"/>
        </w:rPr>
        <w:t xml:space="preserve">NIHA INSIGHT: </w:t>
      </w:r>
      <w:r>
        <w:rPr>
          <w:rFonts w:ascii="Times New Roman" w:cs="Times New Roman" w:eastAsia="Times New Roman" w:hAnsi="Times New Roman"/>
          <w:color w:val="333333"/>
          <w:sz w:val="22"/>
          <w:szCs w:val="22"/>
        </w:rPr>
        <w:t xml:space="preserve">The CEA/EUA ratio has widened by 4.1% in Q1, reflecting faster CEA price appreciation driven by China’s expanded national ETS coverage to include aluminium and cement sectors. Cross-border conversion demand from our partner network has increased 23% quarter-on-quarter.</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EU EMISSIONS TRADING SYSTEM (EU ETS)</w:t>
      </w:r>
    </w:p>
    <w:p>
      <w:pPr>
        <w:spacing w:before="280" w:after="160"/>
      </w:pPr>
      <w:r>
        <w:rPr>
          <w:rFonts w:ascii="Times New Roman" w:cs="Times New Roman" w:eastAsia="Times New Roman" w:hAnsi="Times New Roman"/>
          <w:b/>
          <w:bCs/>
          <w:color w:val="2E75B6"/>
          <w:sz w:val="24"/>
          <w:szCs w:val="24"/>
        </w:rPr>
        <w:t xml:space="preserve">Price Analysis</w:t>
      </w:r>
    </w:p>
    <w:p>
      <w:pPr>
        <w:spacing w:after="140"/>
      </w:pPr>
      <w:r>
        <w:rPr>
          <w:rFonts w:ascii="Times New Roman" w:cs="Times New Roman" w:eastAsia="Times New Roman" w:hAnsi="Times New Roman"/>
          <w:color w:val="333333"/>
          <w:sz w:val="22"/>
          <w:szCs w:val="22"/>
        </w:rPr>
        <w:t xml:space="preserve">EUA prices recovered strongly in January 2026, breaking above the €75 resistance level that had capped prices through Q4 2025. The rally was supported by colder-than-expected winter weather across Northern Europe, increased gas-to-coal switching in Germany and Poland, and the European Commission’s confirmation of accelerated cap reduction under the “Fit for 55” package.</w:t>
      </w:r>
    </w:p>
    <w:p>
      <w:pPr>
        <w:spacing w:after="140"/>
      </w:pPr>
      <w:r>
        <w:rPr>
          <w:rFonts w:ascii="Times New Roman" w:cs="Times New Roman" w:eastAsia="Times New Roman" w:hAnsi="Times New Roman"/>
          <w:color w:val="333333"/>
          <w:sz w:val="22"/>
          <w:szCs w:val="22"/>
        </w:rPr>
        <w:t xml:space="preserve">The Market Stability Reserve (MSR) continued to absorb surplus allowances, with the January intake rate reaching 24% of circulating supply — the highest absorption rate since the MSR’s introduction. The cumulative surplus has fallen to approximately 1.1 billion allowances, down from 1.6 billion at the start of Phase 4.</w:t>
      </w:r>
    </w:p>
    <w:p>
      <w:pPr>
        <w:spacing w:before="280" w:after="160"/>
      </w:pPr>
      <w:r>
        <w:rPr>
          <w:rFonts w:ascii="Times New Roman" w:cs="Times New Roman" w:eastAsia="Times New Roman" w:hAnsi="Times New Roman"/>
          <w:b/>
          <w:bCs/>
          <w:color w:val="2E75B6"/>
          <w:sz w:val="24"/>
          <w:szCs w:val="24"/>
        </w:rPr>
        <w:t xml:space="preserve">Regulatory Developments</w:t>
      </w:r>
    </w:p>
    <w:p>
      <w:pPr>
        <w:pStyle w:val="ListParagraph"/>
        <w:numPr>
          <w:ilvl w:val="0"/>
          <w:numId w:val="2"/>
        </w:numPr>
        <w:spacing w:after="80"/>
      </w:pPr>
      <w:r>
        <w:rPr>
          <w:rFonts w:ascii="Times New Roman" w:cs="Times New Roman" w:eastAsia="Times New Roman" w:hAnsi="Times New Roman"/>
          <w:color w:val="333333"/>
          <w:sz w:val="22"/>
          <w:szCs w:val="22"/>
        </w:rPr>
        <w:t xml:space="preserve">CBAM Transition Phase: The Carbon Border Adjustment Mechanism entered its definitive phase on 1 January 2026. Importers of cement, iron/steel, aluminium, fertilisers, electricity, and hydrogen are now required to surrender CBAM certificates corresponding to the carbon price that would have been paid under the EU ETS. Early data suggests compliance costs for non-EU producers are 8–15% higher than anticipated.</w:t>
      </w:r>
    </w:p>
    <w:p>
      <w:pPr>
        <w:pStyle w:val="ListParagraph"/>
        <w:numPr>
          <w:ilvl w:val="0"/>
          <w:numId w:val="2"/>
        </w:numPr>
        <w:spacing w:after="80"/>
      </w:pPr>
      <w:r>
        <w:rPr>
          <w:rFonts w:ascii="Times New Roman" w:cs="Times New Roman" w:eastAsia="Times New Roman" w:hAnsi="Times New Roman"/>
          <w:color w:val="333333"/>
          <w:sz w:val="22"/>
          <w:szCs w:val="22"/>
        </w:rPr>
        <w:t xml:space="preserve">Aviation Expansion: The EU confirmed that intra-EEA aviation emissions will be fully included in the EU ETS from 2026, with no free allocation. This adds approximately 60–80 million tonnes of additional demand annually.</w:t>
      </w:r>
    </w:p>
    <w:p>
      <w:pPr>
        <w:pStyle w:val="ListParagraph"/>
        <w:numPr>
          <w:ilvl w:val="0"/>
          <w:numId w:val="2"/>
        </w:numPr>
        <w:spacing w:after="80"/>
      </w:pPr>
      <w:r>
        <w:rPr>
          <w:rFonts w:ascii="Times New Roman" w:cs="Times New Roman" w:eastAsia="Times New Roman" w:hAnsi="Times New Roman"/>
          <w:color w:val="333333"/>
          <w:sz w:val="22"/>
          <w:szCs w:val="22"/>
        </w:rPr>
        <w:t xml:space="preserve">Maritime Inclusion: Phase-in of maritime emissions continues, with 70% of emissions covered in 2026 (up from 40% in 2025). Full coverage is expected from 2027.</w:t>
      </w:r>
    </w:p>
    <w:p>
      <w:pPr>
        <w:spacing w:before="280" w:after="160"/>
      </w:pPr>
      <w:r>
        <w:rPr>
          <w:rFonts w:ascii="Times New Roman" w:cs="Times New Roman" w:eastAsia="Times New Roman" w:hAnsi="Times New Roman"/>
          <w:b/>
          <w:bCs/>
          <w:color w:val="2E75B6"/>
          <w:sz w:val="24"/>
          <w:szCs w:val="24"/>
        </w:rPr>
        <w:t xml:space="preserve">NIHA Trading Activity — EU 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Q1 2026 (to date)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Q4 2025</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Volume Traded (whole units)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842,000</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1,230,000</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Number of Transactions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47</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68</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Average Transaction Size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17,915 whole units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18,088 whole units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Client Counterparties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12</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14</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Average Execution Time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11 minutes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14 minutes</w:t>
            </w:r>
          </w:p>
        </w:tc>
      </w:tr>
    </w:tbl>
    <w:p>
      <w:pPr>
        <w:pBdr>
          <w:left w:val="single" w:color="2E75B6" w:sz="6" w:space="8"/>
        </w:pBdr>
        <w:spacing w:after="140"/>
        <w:ind w:left="360" w:right="360"/>
      </w:pPr>
      <w:r>
        <w:rPr>
          <w:rFonts w:ascii="Times New Roman" w:cs="Times New Roman" w:eastAsia="Times New Roman" w:hAnsi="Times New Roman"/>
          <w:b/>
          <w:bCs/>
          <w:color w:val="2E75B6"/>
          <w:sz w:val="22"/>
          <w:szCs w:val="22"/>
        </w:rPr>
        <w:t xml:space="preserve">NIHA INSIGHT: </w:t>
      </w:r>
      <w:r>
        <w:rPr>
          <w:rFonts w:ascii="Times New Roman" w:cs="Times New Roman" w:eastAsia="Times New Roman" w:hAnsi="Times New Roman"/>
          <w:color w:val="333333"/>
          <w:sz w:val="22"/>
          <w:szCs w:val="22"/>
        </w:rPr>
        <w:t xml:space="preserve">Our execution speed has improved 21% due to enhanced pre-funding arrangements with European registry accounts. We anticipate Q1 full-quarter volume of 1.4–1.6 million whole units based on current pipeline.</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CHINA EMISSIONS TRADING SYSTEMS</w:t>
      </w:r>
    </w:p>
    <w:p>
      <w:pPr>
        <w:spacing w:before="280" w:after="160"/>
      </w:pPr>
      <w:r>
        <w:rPr>
          <w:rFonts w:ascii="Times New Roman" w:cs="Times New Roman" w:eastAsia="Times New Roman" w:hAnsi="Times New Roman"/>
          <w:b/>
          <w:bCs/>
          <w:color w:val="2E75B6"/>
          <w:sz w:val="24"/>
          <w:szCs w:val="24"/>
        </w:rPr>
        <w:t xml:space="preserve">National ETS (Shanghai)</w:t>
      </w:r>
    </w:p>
    <w:p>
      <w:pPr>
        <w:spacing w:after="140"/>
      </w:pPr>
      <w:r>
        <w:rPr>
          <w:rFonts w:ascii="Times New Roman" w:cs="Times New Roman" w:eastAsia="Times New Roman" w:hAnsi="Times New Roman"/>
          <w:color w:val="333333"/>
          <w:sz w:val="22"/>
          <w:szCs w:val="22"/>
        </w:rPr>
        <w:t xml:space="preserve">China’s national ETS, the world’s largest by covered emissions, entered its third compliance period with significant structural reforms. The Ministry of Ecology and Environment (MEE) announced the phased inclusion of the aluminium, cement, and steel sectors from Q2 2026, which will approximately triple covered emissions from 4.5 billion to 12–14 billion Carbon Credits (whole units)e.</w:t>
      </w:r>
    </w:p>
    <w:p>
      <w:pPr>
        <w:spacing w:after="140"/>
      </w:pPr>
      <w:r>
        <w:rPr>
          <w:rFonts w:ascii="Times New Roman" w:cs="Times New Roman" w:eastAsia="Times New Roman" w:hAnsi="Times New Roman"/>
          <w:color w:val="333333"/>
          <w:sz w:val="22"/>
          <w:szCs w:val="22"/>
        </w:rPr>
        <w:t xml:space="preserve">CEA prices on the Shanghai Environment and Energy Exchange (SEEE) have responded positively, trading at ¥102.30 as at 14 February 2026 — an all-time high. Trading volume has increased 34% year-on-year, though liquidity remains shallow relative to the EU ETS.</w:t>
      </w:r>
    </w:p>
    <w:p>
      <w:pPr>
        <w:spacing w:before="280" w:after="160"/>
      </w:pPr>
      <w:r>
        <w:rPr>
          <w:rFonts w:ascii="Times New Roman" w:cs="Times New Roman" w:eastAsia="Times New Roman" w:hAnsi="Times New Roman"/>
          <w:b/>
          <w:bCs/>
          <w:color w:val="2E75B6"/>
          <w:sz w:val="24"/>
          <w:szCs w:val="24"/>
        </w:rPr>
        <w:t xml:space="preserve">Shenzhen Pilot ETS</w:t>
      </w:r>
    </w:p>
    <w:p>
      <w:pPr>
        <w:spacing w:after="140"/>
      </w:pPr>
      <w:r>
        <w:rPr>
          <w:rFonts w:ascii="Times New Roman" w:cs="Times New Roman" w:eastAsia="Times New Roman" w:hAnsi="Times New Roman"/>
          <w:color w:val="333333"/>
          <w:sz w:val="22"/>
          <w:szCs w:val="22"/>
        </w:rPr>
        <w:t xml:space="preserve">The Shenzhen pilot scheme continues to serve as the primary access point for foreign investor participation in China’s carbon markets. The China Emissions Exchange (Shenzhen) (CEEX)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Jan–Feb 2026</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Full Year 2025</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Total Volume (whole units)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18.4 million</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82.6 million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Foreign Participant Volume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2.1 million</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7.8 million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Foreign % of Total</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11.4%</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9.4%</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Registered Foreign Entities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38</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31</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Average CEA Price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¥96.80</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¥84.50</w:t>
            </w:r>
          </w:p>
        </w:tc>
      </w:tr>
    </w:tbl>
    <w:p>
      <w:pPr>
        <w:pBdr>
          <w:left w:val="single" w:color="2E75B6" w:sz="6" w:space="8"/>
        </w:pBdr>
        <w:spacing w:after="140"/>
        <w:ind w:left="360" w:right="360"/>
      </w:pPr>
      <w:r>
        <w:rPr>
          <w:rFonts w:ascii="Times New Roman" w:cs="Times New Roman" w:eastAsia="Times New Roman" w:hAnsi="Times New Roman"/>
          <w:b/>
          <w:bCs/>
          <w:color w:val="2E75B6"/>
          <w:sz w:val="22"/>
          <w:szCs w:val="22"/>
        </w:rPr>
        <w:t xml:space="preserve">NIHA INSIGHT: </w:t>
      </w:r>
      <w:r>
        <w:rPr>
          <w:rFonts w:ascii="Times New Roman" w:cs="Times New Roman" w:eastAsia="Times New Roman" w:hAnsi="Times New Roman"/>
          <w:color w:val="333333"/>
          <w:sz w:val="22"/>
          <w:szCs w:val="22"/>
        </w:rPr>
        <w:t xml:space="preserve">Foreign participation in the Shenzhen pilot has reached 11.4% of volume in early 2026, up from 9.4% in 2025. NIHA facilitated approximately 340,000 whole units of transactions through the Shenzhen pilot in this period, representing an estimated 16% of total foreign participant volume. Our SAFE-approved foreign investor registration at CEEX continues to provide a competitive advantage for cross-border operations.</w:t>
      </w:r>
    </w:p>
    <w:p>
      <w:pPr>
        <w:spacing w:before="280" w:after="160"/>
      </w:pPr>
      <w:r>
        <w:rPr>
          <w:rFonts w:ascii="Times New Roman" w:cs="Times New Roman" w:eastAsia="Times New Roman" w:hAnsi="Times New Roman"/>
          <w:b/>
          <w:bCs/>
          <w:color w:val="2E75B6"/>
          <w:sz w:val="24"/>
          <w:szCs w:val="24"/>
        </w:rPr>
        <w:t xml:space="preserve">GBA Carbon Connect Update</w:t>
      </w:r>
    </w:p>
    <w:p>
      <w:pPr>
        <w:spacing w:after="140"/>
      </w:pPr>
      <w:r>
        <w:rPr>
          <w:rFonts w:ascii="Times New Roman" w:cs="Times New Roman" w:eastAsia="Times New Roman" w:hAnsi="Times New Roman"/>
          <w:color w:val="333333"/>
          <w:sz w:val="22"/>
          <w:szCs w:val="22"/>
        </w:rPr>
        <w:t xml:space="preserve">The Greater Bay Area Carbon Connect scheme, which aims to create a cross-border carbon trading mechanism between Hong Kong, Shenzhen, and Guangzhou, remains in the consultation phase. The Hong Kong Government’s 2026 Budget (announced 26 February) is expected to include further details on the timeline and structure. NIHA is actively engaged with the Environment and Ecology Bureau through industry consultation submissions.</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CROSS-BORDER CONVERSION MARKET (CEA ↔ EUA)</w:t>
      </w:r>
    </w:p>
    <w:p>
      <w:pPr>
        <w:spacing w:after="140"/>
      </w:pPr>
      <w:r>
        <w:rPr>
          <w:rFonts w:ascii="Times New Roman" w:cs="Times New Roman" w:eastAsia="Times New Roman" w:hAnsi="Times New Roman"/>
          <w:color w:val="333333"/>
          <w:sz w:val="22"/>
          <w:szCs w:val="22"/>
        </w:rPr>
        <w:t xml:space="preserve">The CEA-EUA conversion market, which NIHA facilitates as a principal counterparty, has seen sustained growth in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Q1 2026 (to date)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Q4 2025</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Conversion Volume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126,000 whole units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198,000 whole units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Average Ratio (CEA/EUA)</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0.1183</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0.1145</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Ratio Range (Low–High)</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0.1098 – 0.1247</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0.1082 – 0.1198</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Conversion Requests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19</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28</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Average Settlement Time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T+7</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T+8</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Client Satisfaction Score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4.7 / 5.0</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4.5 / 5.0</w:t>
            </w:r>
          </w:p>
        </w:tc>
      </w:tr>
    </w:tbl>
    <w:p>
      <w:pPr>
        <w:spacing w:before="280" w:after="160"/>
      </w:pPr>
      <w:r>
        <w:rPr>
          <w:rFonts w:ascii="Times New Roman" w:cs="Times New Roman" w:eastAsia="Times New Roman" w:hAnsi="Times New Roman"/>
          <w:b/>
          <w:bCs/>
          <w:color w:val="2E75B6"/>
          <w:sz w:val="24"/>
          <w:szCs w:val="24"/>
        </w:rPr>
        <w:t xml:space="preserve">Conversion Ratio Drivers</w:t>
      </w:r>
    </w:p>
    <w:p>
      <w:pPr>
        <w:pStyle w:val="ListParagraph"/>
        <w:numPr>
          <w:ilvl w:val="0"/>
          <w:numId w:val="2"/>
        </w:numPr>
        <w:spacing w:after="80"/>
      </w:pPr>
      <w:r>
        <w:rPr>
          <w:rFonts w:ascii="Times New Roman" w:cs="Times New Roman" w:eastAsia="Times New Roman" w:hAnsi="Times New Roman"/>
          <w:color w:val="333333"/>
          <w:sz w:val="22"/>
          <w:szCs w:val="22"/>
        </w:rPr>
        <w:t xml:space="preserve">CEA price appreciation (+12.9% QTD) has been the primary driver of ratio widening, as Chinese carbon prices rise faster than European equivalents.</w:t>
      </w:r>
    </w:p>
    <w:p>
      <w:pPr>
        <w:pStyle w:val="ListParagraph"/>
        <w:numPr>
          <w:ilvl w:val="0"/>
          <w:numId w:val="2"/>
        </w:numPr>
        <w:spacing w:after="80"/>
      </w:pPr>
      <w:r>
        <w:rPr>
          <w:rFonts w:ascii="Times New Roman" w:cs="Times New Roman" w:eastAsia="Times New Roman" w:hAnsi="Times New Roman"/>
          <w:color w:val="333333"/>
          <w:sz w:val="22"/>
          <w:szCs w:val="22"/>
        </w:rPr>
        <w:t xml:space="preserve">CNY/EUR exchange rate stability (±1.2% range in Q1) has reduced FX-driven ratio volatility compared to Q3 2025.</w:t>
      </w:r>
    </w:p>
    <w:p>
      <w:pPr>
        <w:pStyle w:val="ListParagraph"/>
        <w:numPr>
          <w:ilvl w:val="0"/>
          <w:numId w:val="2"/>
        </w:numPr>
        <w:spacing w:after="80"/>
      </w:pPr>
      <w:r>
        <w:rPr>
          <w:rFonts w:ascii="Times New Roman" w:cs="Times New Roman" w:eastAsia="Times New Roman" w:hAnsi="Times New Roman"/>
          <w:color w:val="333333"/>
          <w:sz w:val="22"/>
          <w:szCs w:val="22"/>
        </w:rPr>
        <w:t xml:space="preserve">Institutional demand from European compliance buyers seeking to diversify carbon exposure into Chinese markets has increased conversion flow from EU to China direction by 40%.</w:t>
      </w:r>
    </w:p>
    <w:p>
      <w:pPr>
        <w:pBdr>
          <w:left w:val="single" w:color="2E75B6" w:sz="6" w:space="8"/>
        </w:pBdr>
        <w:spacing w:after="140"/>
        <w:ind w:left="360" w:right="360"/>
      </w:pPr>
      <w:r>
        <w:rPr>
          <w:rFonts w:ascii="Times New Roman" w:cs="Times New Roman" w:eastAsia="Times New Roman" w:hAnsi="Times New Roman"/>
          <w:b/>
          <w:bCs/>
          <w:color w:val="2E75B6"/>
          <w:sz w:val="22"/>
          <w:szCs w:val="22"/>
        </w:rPr>
        <w:t xml:space="preserve">NIHA INSIGHT: </w:t>
      </w:r>
      <w:r>
        <w:rPr>
          <w:rFonts w:ascii="Times New Roman" w:cs="Times New Roman" w:eastAsia="Times New Roman" w:hAnsi="Times New Roman"/>
          <w:color w:val="333333"/>
          <w:sz w:val="22"/>
          <w:szCs w:val="22"/>
        </w:rPr>
        <w:t xml:space="preserve">We project the CEA/EUA ratio to reach 0.125–0.135 by end-Q2 2026, driven by China’s sector expansion and continued EU MSR absorption. Clients with exposure to both markets should consider pre-positioning conversion orders at current levels.</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VOLUNTARY CARBON MARKETS</w:t>
      </w:r>
    </w:p>
    <w:p>
      <w:pPr>
        <w:spacing w:before="280" w:after="160"/>
      </w:pPr>
      <w:r>
        <w:rPr>
          <w:rFonts w:ascii="Times New Roman" w:cs="Times New Roman" w:eastAsia="Times New Roman" w:hAnsi="Times New Roman"/>
          <w:b/>
          <w:bCs/>
          <w:color w:val="2E75B6"/>
          <w:sz w:val="24"/>
          <w:szCs w:val="24"/>
        </w:rPr>
        <w:t xml:space="preserve">HKEX Core Climate</w:t>
      </w:r>
    </w:p>
    <w:p>
      <w:pPr>
        <w:spacing w:after="140"/>
      </w:pPr>
      <w:r>
        <w:rPr>
          <w:rFonts w:ascii="Times New Roman" w:cs="Times New Roman" w:eastAsia="Times New Roman" w:hAnsi="Times New Roman"/>
          <w:color w:val="333333"/>
          <w:sz w:val="22"/>
          <w:szCs w:val="22"/>
        </w:rPr>
        <w:t xml:space="preserve">Hong Kong Exchanges and Clearing’s Core Climate platform has continued to gain traction since its 2023 launch:</w:t>
      </w:r>
    </w:p>
    <w:p>
      <w:pPr>
        <w:pStyle w:val="ListParagraph"/>
        <w:numPr>
          <w:ilvl w:val="0"/>
          <w:numId w:val="2"/>
        </w:numPr>
        <w:spacing w:after="80"/>
      </w:pPr>
      <w:r>
        <w:rPr>
          <w:rFonts w:ascii="Times New Roman" w:cs="Times New Roman" w:eastAsia="Times New Roman" w:hAnsi="Times New Roman"/>
          <w:color w:val="333333"/>
          <w:sz w:val="22"/>
          <w:szCs w:val="22"/>
        </w:rPr>
        <w:t xml:space="preserve">Q1 2026 volume: 4.2 million whole units (vs. 3.1 million in Q1 2025, +35%)</w:t>
      </w:r>
    </w:p>
    <w:p>
      <w:pPr>
        <w:pStyle w:val="ListParagraph"/>
        <w:numPr>
          <w:ilvl w:val="0"/>
          <w:numId w:val="2"/>
        </w:numPr>
        <w:spacing w:after="80"/>
      </w:pPr>
      <w:r>
        <w:rPr>
          <w:rFonts w:ascii="Times New Roman" w:cs="Times New Roman" w:eastAsia="Times New Roman" w:hAnsi="Times New Roman"/>
          <w:color w:val="333333"/>
          <w:sz w:val="22"/>
          <w:szCs w:val="22"/>
        </w:rPr>
        <w:t xml:space="preserve">Registered participants: 127 (vs. 94 at end of 2025)</w:t>
      </w:r>
    </w:p>
    <w:p>
      <w:pPr>
        <w:pStyle w:val="ListParagraph"/>
        <w:numPr>
          <w:ilvl w:val="0"/>
          <w:numId w:val="2"/>
        </w:numPr>
        <w:spacing w:after="80"/>
      </w:pPr>
      <w:r>
        <w:rPr>
          <w:rFonts w:ascii="Times New Roman" w:cs="Times New Roman" w:eastAsia="Times New Roman" w:hAnsi="Times New Roman"/>
          <w:color w:val="333333"/>
          <w:sz w:val="22"/>
          <w:szCs w:val="22"/>
        </w:rPr>
        <w:t xml:space="preserve">Average GEO price: US$12.80 (highest since platform launch)</w:t>
      </w:r>
    </w:p>
    <w:p>
      <w:pPr>
        <w:pStyle w:val="ListParagraph"/>
        <w:numPr>
          <w:ilvl w:val="0"/>
          <w:numId w:val="2"/>
        </w:numPr>
        <w:spacing w:after="80"/>
      </w:pPr>
      <w:r>
        <w:rPr>
          <w:rFonts w:ascii="Times New Roman" w:cs="Times New Roman" w:eastAsia="Times New Roman" w:hAnsi="Times New Roman"/>
          <w:color w:val="333333"/>
          <w:sz w:val="22"/>
          <w:szCs w:val="22"/>
        </w:rPr>
        <w:t xml:space="preserve">RMB-denominated settlement: 28% of transactions (up from 19% in 2025)</w:t>
      </w:r>
    </w:p>
    <w:p>
      <w:pPr>
        <w:spacing w:after="140"/>
      </w:pPr>
      <w:r>
        <w:rPr>
          <w:rFonts w:ascii="Times New Roman" w:cs="Times New Roman" w:eastAsia="Times New Roman" w:hAnsi="Times New Roman"/>
          <w:color w:val="333333"/>
          <w:sz w:val="22"/>
          <w:szCs w:val="22"/>
        </w:rPr>
        <w:t xml:space="preserve">NIHA maintains an active account on Core Climate for both proprietary inventory management and client facilitation. The platform’s dual-currency settlement (HKD and RMB) aligns with our cross-border operating model.</w:t>
      </w:r>
    </w:p>
    <w:p>
      <w:pPr>
        <w:spacing w:before="280" w:after="160"/>
      </w:pPr>
      <w:r>
        <w:rPr>
          <w:rFonts w:ascii="Times New Roman" w:cs="Times New Roman" w:eastAsia="Times New Roman" w:hAnsi="Times New Roman"/>
          <w:b/>
          <w:bCs/>
          <w:color w:val="2E75B6"/>
          <w:sz w:val="24"/>
          <w:szCs w:val="24"/>
        </w:rPr>
        <w:t xml:space="preserve">Integrity and Standards Update</w:t>
      </w:r>
    </w:p>
    <w:p>
      <w:pPr>
        <w:pStyle w:val="ListParagraph"/>
        <w:numPr>
          <w:ilvl w:val="0"/>
          <w:numId w:val="2"/>
        </w:numPr>
        <w:spacing w:after="80"/>
      </w:pPr>
      <w:r>
        <w:rPr>
          <w:rFonts w:ascii="Times New Roman" w:cs="Times New Roman" w:eastAsia="Times New Roman" w:hAnsi="Times New Roman"/>
          <w:color w:val="333333"/>
          <w:sz w:val="22"/>
          <w:szCs w:val="22"/>
        </w:rPr>
        <w:t xml:space="preserve">ICVCM Core Carbon Principles (CCP): The Integrity Council for the Voluntary Carbon Market has now assessed and CCP-labelled 14 methodologies across Verra and Gold Standard registries. CCP-labelled credits trade at a 15–25% premium to non-labelled equivalents.</w:t>
      </w:r>
    </w:p>
    <w:p>
      <w:pPr>
        <w:pStyle w:val="ListParagraph"/>
        <w:numPr>
          <w:ilvl w:val="0"/>
          <w:numId w:val="2"/>
        </w:numPr>
        <w:spacing w:after="80"/>
      </w:pPr>
      <w:r>
        <w:rPr>
          <w:rFonts w:ascii="Times New Roman" w:cs="Times New Roman" w:eastAsia="Times New Roman" w:hAnsi="Times New Roman"/>
          <w:color w:val="333333"/>
          <w:sz w:val="22"/>
          <w:szCs w:val="22"/>
        </w:rPr>
        <w:t xml:space="preserve">Article 6 Progress: Five bilateral agreements under Article 6.2 of the Paris Agreement are now operational (Switzerland-Thailand, Singapore-Papua New Guinea, Japan-Bangladesh, Sweden-Ghana, South Korea-Peru), creating sovereign-backed carbon credit corridors.</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Q2 2026 OUTLOOK AND NIHA POSITIONING</w:t>
      </w:r>
    </w:p>
    <w:p>
      <w:pPr>
        <w:spacing w:before="280" w:after="160"/>
      </w:pPr>
      <w:r>
        <w:rPr>
          <w:rFonts w:ascii="Times New Roman" w:cs="Times New Roman" w:eastAsia="Times New Roman" w:hAnsi="Times New Roman"/>
          <w:b/>
          <w:bCs/>
          <w:color w:val="2E75B6"/>
          <w:sz w:val="24"/>
          <w:szCs w:val="24"/>
        </w:rPr>
        <w:t xml:space="preserve">Market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Market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Q2 2026 Forecast</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Driver</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EUA</w:t>
            </w:r>
          </w:p>
        </w:tc>
        <w:tc>
          <w:tcPr>
            <w:tcW w:type="dxa" w:w="36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€78–88 range (BULLISH)</w:t>
            </w:r>
          </w:p>
        </w:tc>
        <w:tc>
          <w:tcPr>
            <w:tcW w:type="dxa" w:w="3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MSR absorption + maritime + CBAM demand</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(National)</w:t>
            </w:r>
          </w:p>
        </w:tc>
        <w:tc>
          <w:tcPr>
            <w:tcW w:type="dxa" w:w="36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¥100–120 (BULLISH)</w:t>
            </w:r>
          </w:p>
        </w:tc>
        <w:tc>
          <w:tcPr>
            <w:tcW w:type="dxa" w:w="3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Sector expansion + compliance deadline</w:t>
            </w:r>
          </w:p>
        </w:tc>
      </w:tr>
      <w:tr>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(Shenzhen)</w:t>
            </w:r>
          </w:p>
        </w:tc>
        <w:tc>
          <w:tcPr>
            <w:tcW w:type="dxa" w:w="36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¥95–115 (BULLISH)</w:t>
            </w:r>
          </w:p>
        </w:tc>
        <w:tc>
          <w:tcPr>
            <w:tcW w:type="dxa" w:w="336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Foreign participation growth + national convergence</w:t>
            </w:r>
          </w:p>
        </w:tc>
      </w:tr>
      <w:tr>
        <w:tc>
          <w:tcPr>
            <w:tcW w:type="dxa" w:w="24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CEA/EUA Ratio</w:t>
            </w:r>
          </w:p>
        </w:tc>
        <w:tc>
          <w:tcPr>
            <w:tcW w:type="dxa" w:w="36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0.125–0.135 (WIDENING)</w:t>
            </w:r>
          </w:p>
        </w:tc>
        <w:tc>
          <w:tcPr>
            <w:tcW w:type="dxa" w:w="33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faster appreciation vs EUA</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VCM (Core Climate)</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US$11–15 GEO (STABLE)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CCP labelling premium + RMB settlement growth</w:t>
            </w:r>
          </w:p>
        </w:tc>
      </w:tr>
    </w:tbl>
    <w:p>
      <w:pPr>
        <w:spacing w:before="280" w:after="160"/>
      </w:pPr>
      <w:r>
        <w:rPr>
          <w:rFonts w:ascii="Times New Roman" w:cs="Times New Roman" w:eastAsia="Times New Roman" w:hAnsi="Times New Roman"/>
          <w:b/>
          <w:bCs/>
          <w:color w:val="2E75B6"/>
          <w:sz w:val="24"/>
          <w:szCs w:val="24"/>
        </w:rPr>
        <w:t xml:space="preserve">NIHA Strategic Priorities — Q2 2026</w:t>
      </w:r>
    </w:p>
    <w:p>
      <w:pPr>
        <w:pStyle w:val="ListParagraph"/>
        <w:numPr>
          <w:ilvl w:val="0"/>
          <w:numId w:val="2"/>
        </w:numPr>
        <w:spacing w:after="80"/>
      </w:pPr>
      <w:r>
        <w:rPr>
          <w:rFonts w:ascii="Times New Roman" w:cs="Times New Roman" w:eastAsia="Times New Roman" w:hAnsi="Times New Roman"/>
          <w:color w:val="333333"/>
          <w:sz w:val="22"/>
          <w:szCs w:val="22"/>
        </w:rPr>
        <w:t xml:space="preserve">Expand Shenzhen pilot participation: Target 500,000 whole units in foreign investor facilitation for Q2.</w:t>
      </w:r>
    </w:p>
    <w:p>
      <w:pPr>
        <w:pStyle w:val="ListParagraph"/>
        <w:numPr>
          <w:ilvl w:val="0"/>
          <w:numId w:val="2"/>
        </w:numPr>
        <w:spacing w:after="80"/>
      </w:pPr>
      <w:r>
        <w:rPr>
          <w:rFonts w:ascii="Times New Roman" w:cs="Times New Roman" w:eastAsia="Times New Roman" w:hAnsi="Times New Roman"/>
          <w:color w:val="333333"/>
          <w:sz w:val="22"/>
          <w:szCs w:val="22"/>
        </w:rPr>
        <w:t xml:space="preserve">Prepare for national ETS sector expansion: Build CEA inventory positions ahead of aluminium/cement inclusion.</w:t>
      </w:r>
    </w:p>
    <w:p>
      <w:pPr>
        <w:pStyle w:val="ListParagraph"/>
        <w:numPr>
          <w:ilvl w:val="0"/>
          <w:numId w:val="2"/>
        </w:numPr>
        <w:spacing w:after="80"/>
      </w:pPr>
      <w:r>
        <w:rPr>
          <w:rFonts w:ascii="Times New Roman" w:cs="Times New Roman" w:eastAsia="Times New Roman" w:hAnsi="Times New Roman"/>
          <w:color w:val="333333"/>
          <w:sz w:val="22"/>
          <w:szCs w:val="22"/>
        </w:rPr>
        <w:t xml:space="preserve">Core Climate activation: Increase VCU facilitation for clients with voluntary offset mandates.</w:t>
      </w:r>
    </w:p>
    <w:p>
      <w:pPr>
        <w:pStyle w:val="ListParagraph"/>
        <w:numPr>
          <w:ilvl w:val="0"/>
          <w:numId w:val="2"/>
        </w:numPr>
        <w:spacing w:after="80"/>
      </w:pPr>
      <w:r>
        <w:rPr>
          <w:rFonts w:ascii="Times New Roman" w:cs="Times New Roman" w:eastAsia="Times New Roman" w:hAnsi="Times New Roman"/>
          <w:color w:val="333333"/>
          <w:sz w:val="22"/>
          <w:szCs w:val="22"/>
        </w:rPr>
        <w:t xml:space="preserve">GBA Carbon Connect readiness: Monitor policy announcements and prepare operational framework for cross-border pilot.</w:t>
      </w:r>
    </w:p>
    <w:p>
      <w:pPr>
        <w:pStyle w:val="ListParagraph"/>
        <w:numPr>
          <w:ilvl w:val="0"/>
          <w:numId w:val="2"/>
        </w:numPr>
        <w:spacing w:after="80"/>
      </w:pPr>
      <w:r>
        <w:rPr>
          <w:rFonts w:ascii="Times New Roman" w:cs="Times New Roman" w:eastAsia="Times New Roman" w:hAnsi="Times New Roman"/>
          <w:color w:val="333333"/>
          <w:sz w:val="22"/>
          <w:szCs w:val="22"/>
        </w:rPr>
        <w:t xml:space="preserve">Client acquisition: Onboard 4–6 new institutional clients from existing partner referral network.</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DISCLAIMER</w:t>
      </w:r>
    </w:p>
    <w:p>
      <w:pPr>
        <w:spacing w:after="140"/>
      </w:pPr>
      <w:r>
        <w:rPr>
          <w:rFonts w:ascii="Times New Roman" w:cs="Times New Roman" w:eastAsia="Times New Roman" w:hAnsi="Times New Roman"/>
          <w:color w:val="333333"/>
          <w:sz w:val="22"/>
          <w:szCs w:val="22"/>
        </w:rPr>
        <w:t xml:space="preserve">This Carbon Market Intelligence Report (“Report”) is prepared and issued by Italy Nihao Group Limited (“NIHA”) for informational purposes only and is intended solely for the use of authorised recipients.</w:t>
      </w:r>
    </w:p>
    <w:p>
      <w:pPr>
        <w:spacing w:after="140"/>
      </w:pPr>
      <w:r>
        <w:rPr>
          <w:rFonts w:ascii="Times New Roman" w:cs="Times New Roman" w:eastAsia="Times New Roman" w:hAnsi="Times New Roman"/>
          <w:color w:val="333333"/>
          <w:sz w:val="22"/>
          <w:szCs w:val="22"/>
        </w:rPr>
        <w:t xml:space="preserve">This Report does not constitute investment advice, a recommendation, or an offer or solicitation to buy, sell, or hold any carbon credit, financial instrument, or other asset. The information contained in this Report is based on sources believed to be reliable, but NIHA makes no representation or warranty as to its accuracy, completeness, or timeliness.</w:t>
      </w:r>
    </w:p>
    <w:p>
      <w:pPr>
        <w:spacing w:after="140"/>
      </w:pPr>
      <w:r>
        <w:rPr>
          <w:rFonts w:ascii="Times New Roman" w:cs="Times New Roman" w:eastAsia="Times New Roman" w:hAnsi="Times New Roman"/>
          <w:color w:val="333333"/>
          <w:sz w:val="22"/>
          <w:szCs w:val="22"/>
        </w:rPr>
        <w:t xml:space="preserve">Market data, prices, and forecasts presented herein are indicative only and may not reflect actual trading conditions. Past performance is not indicative of future results. Carbon credit trading involves substantial risks, including the risk of total loss of invested capital.</w:t>
      </w:r>
    </w:p>
    <w:p>
      <w:pPr>
        <w:spacing w:after="140"/>
      </w:pPr>
      <w:r>
        <w:rPr>
          <w:rFonts w:ascii="Times New Roman" w:cs="Times New Roman" w:eastAsia="Times New Roman" w:hAnsi="Times New Roman"/>
          <w:color w:val="333333"/>
          <w:sz w:val="22"/>
          <w:szCs w:val="22"/>
        </w:rPr>
        <w:t xml:space="preserve">Recipients should make their own independent assessment of the risks and merits of any transaction and should seek independent legal, financial, and tax advice before making investment decisions. NIHA does not accept any liability for loss or damage arising from the use of, or reliance on, the information contained in this Report.</w:t>
      </w:r>
    </w:p>
    <w:p>
      <w:pPr>
        <w:spacing w:after="140"/>
      </w:pPr>
      <w:r>
        <w:rPr>
          <w:rFonts w:ascii="Times New Roman" w:cs="Times New Roman" w:eastAsia="Times New Roman" w:hAnsi="Times New Roman"/>
          <w:color w:val="333333"/>
          <w:sz w:val="22"/>
          <w:szCs w:val="22"/>
        </w:rPr>
        <w:t xml:space="preserve">This Report is confidential and may not be reproduced, distributed, or transmitted to any third party without the prior written consent of NIHA.</w:t>
      </w:r>
    </w:p>
    <w:p>
      <w:pPr>
        <w:spacing w:after="140"/>
      </w:pPr>
      <w:r>
        <w:rPr>
          <w:rFonts w:ascii="Times New Roman" w:cs="Times New Roman" w:eastAsia="Times New Roman" w:hAnsi="Times New Roman"/>
          <w:i/>
          <w:iCs/>
          <w:color w:val="666666"/>
          <w:sz w:val="22"/>
          <w:szCs w:val="22"/>
        </w:rPr>
        <w:t xml:space="preserve">© 2026 Italy Nihao Group Limited.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NIHA-MIR-2026-Q1-003 | © 2026 Italy Nihao Group Limited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jc w:val="right"/>
    </w:pPr>
    <w:r>
      <w:rPr>
        <w:rFonts w:ascii="Times New Roman" w:cs="Times New Roman" w:eastAsia="Times New Roman" w:hAnsi="Times New Roman"/>
        <w:b/>
        <w:bCs/>
        <w:color w:val="1B2A4A"/>
        <w:sz w:val="16"/>
        <w:szCs w:val="16"/>
      </w:rPr>
      <w:t xml:space="preserve">ITALY NIHAO GROUP LIMITED</w:t>
    </w:r>
    <w:r>
      <w:rPr>
        <w:rFonts w:ascii="Times New Roman" w:cs="Times New Roman" w:eastAsia="Times New Roman" w:hAnsi="Times New Roman"/>
        <w:color w:val="666666"/>
        <w:sz w:val="16"/>
        <w:szCs w:val="16"/>
      </w:rPr>
      <w:t xml:space="preserve"> | Carbon Market Intelligence | Q1 2026 | CLIENT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2026-02-20T11:54:08.174Z</dcterms:created>
  <dcterms:modified xsi:type="dcterms:W3CDTF">2026-02-20T11:54:08.174Z</dcterms:modified>
</cp:coreProperties>
</file>

<file path=docProps/custom.xml><?xml version="1.0" encoding="utf-8"?>
<Properties xmlns="http://schemas.openxmlformats.org/officeDocument/2006/custom-properties" xmlns:vt="http://schemas.openxmlformats.org/officeDocument/2006/docPropsVTypes"/>
</file>