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Times New Roman" w:cs="Times New Roman" w:eastAsia="Times New Roman" w:hAnsi="Times New Roman"/>
          <w:b/>
          <w:bCs/>
          <w:color w:val="1B2A4A"/>
          <w:sz w:val="32"/>
          <w:szCs w:val="32"/>
        </w:rPr>
        <w:t xml:space="preserve">ITALY NIHAO GROUP LIMITED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color w:val="2E75B6"/>
          <w:sz w:val="22"/>
          <w:szCs w:val="22"/>
        </w:rPr>
        <w:t xml:space="preserve">Compliance Department</w:t>
      </w:r>
    </w:p>
    <w:p>
      <w:pPr>
        <w:pBdr>
          <w:top w:val="single" w:color="1B2A4A" w:sz="2" w:space="12"/>
          <w:bottom w:val="single" w:color="1B2A4A" w:sz="2" w:space="12"/>
        </w:pBdr>
        <w:spacing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1B2A4A"/>
          <w:sz w:val="34"/>
          <w:szCs w:val="34"/>
        </w:rPr>
        <w:t xml:space="preserve">CLIENT DUE DILIGENCE REPORT</w:t>
      </w:r>
      <w:r>
        <w:rPr>
          <w:rFonts w:ascii="Times New Roman" w:cs="Times New Roman" w:eastAsia="Times New Roman" w:hAnsi="Times New Roman"/>
          <w:color w:val="2E75B6"/>
          <w:sz w:val="24"/>
          <w:szCs w:val="24"/>
        </w:rPr>
        <w:br/>
        <w:t xml:space="preserve">
Enhanced Due Diligence Assessment</w:t>
      </w:r>
    </w:p>
    <w:p>
      <w:pPr>
        <w:spacing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CC0000"/>
          <w:sz w:val="22"/>
          <w:szCs w:val="22"/>
        </w:rPr>
        <w:t xml:space="preserve">STRICTLY CONFIDENTIAL — INTERNAL USE ONLY</w:t>
      </w:r>
    </w:p>
    <w:p>
      <w:pPr>
        <w:spacing w:before="60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Client: [CLIENT ENTITY NAME]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br/>
        <w:t xml:space="preserve">
Report Reference: NIHA-DDR-2026-[___]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br/>
        <w:t xml:space="preserve">
Date of Report: [________] 2026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br/>
        <w:t xml:space="preserve">
Prepared by: [Compliance Officer Name]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br/>
        <w:t xml:space="preserve">
Reviewed by: [Reviewer Name / Title]</w:t>
      </w:r>
    </w:p>
    <w:p>
      <w:r>
        <w:br w:type="page"/>
      </w:r>
    </w:p>
    <w:p>
      <w:pPr>
        <w:pBdr>
          <w:bottom w:val="single" w:color="1B2A4A" w:sz="2" w:space="6"/>
        </w:pBdr>
        <w:spacing w:before="400" w:after="240"/>
      </w:pPr>
      <w:r>
        <w:rPr>
          <w:rFonts w:ascii="Times New Roman" w:cs="Times New Roman" w:eastAsia="Times New Roman" w:hAnsi="Times New Roman"/>
          <w:b/>
          <w:bCs/>
          <w:color w:val="1B2A4A"/>
          <w:sz w:val="28"/>
          <w:szCs w:val="28"/>
        </w:rPr>
        <w:t xml:space="preserve">1. CLIENT IDENTIFICATION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Full Legal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Trading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Jurisdiction of Incorporation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Date of Incorporation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reference 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LEI (if available)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Registered 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Business 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Nature of Business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Annual Revenue (approx.)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Number of Employees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Group Structure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1B2A4A" w:sz="2" w:space="6"/>
        </w:pBdr>
        <w:spacing w:before="400" w:after="240"/>
      </w:pPr>
      <w:r>
        <w:rPr>
          <w:rFonts w:ascii="Times New Roman" w:cs="Times New Roman" w:eastAsia="Times New Roman" w:hAnsi="Times New Roman"/>
          <w:b/>
          <w:bCs/>
          <w:color w:val="1B2A4A"/>
          <w:sz w:val="28"/>
          <w:szCs w:val="28"/>
        </w:rPr>
        <w:t xml:space="preserve">2. BENEFICIAL OWNERSHIP ANALYSIS</w:t>
      </w:r>
    </w:p>
    <w:p>
      <w:pPr>
        <w:spacing w:after="14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following Ultimate Beneficial Owners (UBOs) have been identified through review of corporate registry filings, company-provided documentation, and independent verification: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% Holding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PEP?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Sanctions?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Verified?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[UBO 1]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[___]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[___]%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☐Y ☐N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☐Y ☐N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☐Y ☐N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[UBO 2]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[___]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[___]%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☐Y ☐N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☐Y ☐N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☐Y ☐N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[UBO 3]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[___]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[___]%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☐Y ☐N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☐Y ☐N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☐Y ☐N</w:t>
            </w:r>
          </w:p>
        </w:tc>
      </w:tr>
    </w:tbl>
    <w:p>
      <w:pPr>
        <w:spacing w:before="28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Ownership Structure Diagram</w:t>
      </w:r>
    </w:p>
    <w:p>
      <w:pPr>
        <w:spacing w:after="14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[Insert corporate structure chart showing chain of ownership from entity to UBOs]</w:t>
      </w:r>
    </w:p>
    <w:p>
      <w:pPr>
        <w:pBdr>
          <w:bottom w:val="single" w:color="1B2A4A" w:sz="2" w:space="6"/>
        </w:pBdr>
        <w:spacing w:before="400" w:after="240"/>
      </w:pPr>
      <w:r>
        <w:rPr>
          <w:rFonts w:ascii="Times New Roman" w:cs="Times New Roman" w:eastAsia="Times New Roman" w:hAnsi="Times New Roman"/>
          <w:b/>
          <w:bCs/>
          <w:color w:val="1B2A4A"/>
          <w:sz w:val="28"/>
          <w:szCs w:val="28"/>
        </w:rPr>
        <w:t xml:space="preserve">3. SCREENING RESULTS</w:t>
      </w:r>
    </w:p>
    <w:p>
      <w:pPr>
        <w:spacing w:before="28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3.1 Sanctions Screening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1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Sanctions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Directors/UBOs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UN Consolidated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☐ Checked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☐ Checked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☐ Clear / ☐ Match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EU Consolidated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☐ Checked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☐ Checked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☐ Clear / ☐ Match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US applicable international sanctions regimes (SDN + SSI)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☐ Checked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☐ Checked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☐ Clear / ☐ Match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UK (OFSI)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☐ Checked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☐ Checked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☐ Clear / ☐ Match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HK SAR Sanctions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☐ Checked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☐ Checked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☐ Clear / ☐ Match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PRC Counter-Terrorism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☐ Checked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☐ Checked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☐ Clear / ☐ Match</w:t>
            </w:r>
          </w:p>
        </w:tc>
      </w:tr>
    </w:tbl>
    <w:p>
      <w:pPr>
        <w:spacing w:before="28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3.2 PEP Screening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PEP Database Checked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Date of Check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Result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If PEP: Role and Jurisdiction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EDD Applied?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</w:tbl>
    <w:p>
      <w:pPr>
        <w:spacing w:before="28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3.3 Adverse Media Screening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Search Engines / Databases Used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Date of Search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Keywords Used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Languages Searched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Result Summary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Material Findings (if any)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1B2A4A" w:sz="2" w:space="6"/>
        </w:pBdr>
        <w:spacing w:before="400" w:after="240"/>
      </w:pPr>
      <w:r>
        <w:rPr>
          <w:rFonts w:ascii="Times New Roman" w:cs="Times New Roman" w:eastAsia="Times New Roman" w:hAnsi="Times New Roman"/>
          <w:b/>
          <w:bCs/>
          <w:color w:val="1B2A4A"/>
          <w:sz w:val="28"/>
          <w:szCs w:val="28"/>
        </w:rPr>
        <w:t xml:space="preserve">4. RISK ASSESSMENT</w:t>
      </w:r>
    </w:p>
    <w:p>
      <w:pPr>
        <w:spacing w:before="28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4.1 Risk Factor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Risk Factor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Assessment / Comments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Country / Jurisdiction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[___]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[Assessed against FATF grey/black list, TI CPI, EU high-risk list]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Client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[___]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[Regulated entity / Unregulated / SPV / Trust / etc.]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Beneficial Ownership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[___]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[Transparency of ownership; complex structures; nominee arrangements]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PEP Exposure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[___]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[Direct PEP / Family / Close associate / None]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Source of Funds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[___]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[Documented / Partially documented / Unclear]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Industry 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[___]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[Carbon market experience; high-risk sector connections]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Transaction 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[___]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[Expected volume / frequency; alignment with business profile]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Adverse Media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[___]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[No findings / Minor / Material]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Sanctions Exposure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[___]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[Jurisdiction proximity to sanctioned countries / entities]</w:t>
            </w:r>
          </w:p>
        </w:tc>
      </w:tr>
    </w:tbl>
    <w:p>
      <w:pPr>
        <w:spacing w:before="28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4.2 Overall Risk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Composite Risk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Risk Classification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EDD Required?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Ongoing Monitoring Frequency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Risk Classification Key: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LOW: Standard due diligence; annual review; automated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MEDIUM: Enhanced documentation; semi-annual review; manual transaction review for &gt;EUR 100,000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HIGH: Enhanced due diligence; quarterly review; manual review of all transactions; senior management approval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UNACCEPTABLE: Decline to onboard / Terminate relationship</w:t>
      </w:r>
    </w:p>
    <w:p>
      <w:r>
        <w:br w:type="page"/>
      </w:r>
    </w:p>
    <w:p>
      <w:pPr>
        <w:pBdr>
          <w:bottom w:val="single" w:color="1B2A4A" w:sz="2" w:space="6"/>
        </w:pBdr>
        <w:spacing w:before="400" w:after="240"/>
      </w:pPr>
      <w:r>
        <w:rPr>
          <w:rFonts w:ascii="Times New Roman" w:cs="Times New Roman" w:eastAsia="Times New Roman" w:hAnsi="Times New Roman"/>
          <w:b/>
          <w:bCs/>
          <w:color w:val="1B2A4A"/>
          <w:sz w:val="28"/>
          <w:szCs w:val="28"/>
        </w:rPr>
        <w:t xml:space="preserve">5. SOURCE OF FUNDS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Declared Source of Funds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Supporting Documentation Received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Bank Reference Letter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Audited Financials Reviewed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Consistency with Business Profile?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Red Flags Identified?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Compliance Officer Assessment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1B2A4A" w:sz="2" w:space="6"/>
        </w:pBdr>
        <w:spacing w:before="400" w:after="240"/>
      </w:pPr>
      <w:r>
        <w:rPr>
          <w:rFonts w:ascii="Times New Roman" w:cs="Times New Roman" w:eastAsia="Times New Roman" w:hAnsi="Times New Roman"/>
          <w:b/>
          <w:bCs/>
          <w:color w:val="1B2A4A"/>
          <w:sz w:val="28"/>
          <w:szCs w:val="28"/>
        </w:rPr>
        <w:t xml:space="preserve">6. CARBON MARKET EXPERIENCE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Prior Carbon Trading Experience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Markets / Registries Used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Historical Volume (if known)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Stated Investment Objectives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Risk Appetite Declaration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Suitability Assessment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Knowledge / Experience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 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Suitability Key: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SUITABLE: Client demonstrates adequate knowledge and experience for requested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CONDITIONALLY SUITABLE: Client may proceed with enhanced risk disclosure and transaction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NOT SUITABLE: Client lacks sufficient knowledge/experience; recommend declining or limiting services</w:t>
      </w:r>
    </w:p>
    <w:p>
      <w:pPr>
        <w:pBdr>
          <w:bottom w:val="single" w:color="1B2A4A" w:sz="2" w:space="6"/>
        </w:pBdr>
        <w:spacing w:before="400" w:after="240"/>
      </w:pPr>
      <w:r>
        <w:rPr>
          <w:rFonts w:ascii="Times New Roman" w:cs="Times New Roman" w:eastAsia="Times New Roman" w:hAnsi="Times New Roman"/>
          <w:b/>
          <w:bCs/>
          <w:color w:val="1B2A4A"/>
          <w:sz w:val="28"/>
          <w:szCs w:val="28"/>
        </w:rPr>
        <w:t xml:space="preserve">7. COMPLIANCE OFFICER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"/>
                <w:szCs w:val="22"/>
              </w:rPr>
              <w:t xml:space="preserve">[Compliance Officer to provide narrative recommendation including: overall assessment, key risk factors, mitigating factors, conditions for approval if applicable, and recommended monitoring regime]</w:t>
            </w:r>
          </w:p>
        </w:tc>
      </w:tr>
    </w:tbl>
    <w:p>
      <w:pPr>
        <w:spacing w:before="300"/>
      </w:pP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RECOMMENDATION:</w:t>
      </w:r>
    </w:p>
    <w:p>
      <w:pPr>
        <w:spacing w:after="14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☐ APPROVE — Standard onboarding; low/medium risk monitoring</w:t>
      </w:r>
    </w:p>
    <w:p>
      <w:pPr>
        <w:spacing w:after="14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☐ APPROVE WITH CONDITIONS — As specified above; enhanced monitoring</w:t>
      </w:r>
    </w:p>
    <w:p>
      <w:pPr>
        <w:spacing w:after="14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☐ REFER TO SENIOR MANAGEMENT — Risk factors require Board/MD approval</w:t>
      </w:r>
    </w:p>
    <w:p>
      <w:pPr>
        <w:spacing w:after="14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☐ DECLINE — Unacceptable risk profile; do not onboard</w:t>
      </w:r>
    </w:p>
    <w:p>
      <w:pPr>
        <w:pBdr>
          <w:bottom w:val="single" w:color="1B2A4A" w:sz="2" w:space="6"/>
        </w:pBdr>
        <w:spacing w:before="400" w:after="240"/>
      </w:pPr>
      <w:r>
        <w:rPr>
          <w:rFonts w:ascii="Times New Roman" w:cs="Times New Roman" w:eastAsia="Times New Roman" w:hAnsi="Times New Roman"/>
          <w:b/>
          <w:bCs/>
          <w:color w:val="1B2A4A"/>
          <w:sz w:val="28"/>
          <w:szCs w:val="28"/>
        </w:rPr>
        <w:t xml:space="preserve">8.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Reviewer / MLRO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Senior Management
(if required)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300"/>
      </w:pPr>
    </w:p>
    <w:p>
      <w:pPr>
        <w:spacing w:after="14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Document Retention: This report and all supporting documentation shall be retained for a minimum of seven (7) years from the date of termination of the client relationship, in accordance with applicable anti-money laundering legislation (applicable anti-money laundering legislation) and the applicable companies legislation in Hong Kong.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2A4A" w:sz="1" w:space="4"/>
      </w:pBdr>
      <w:jc w:val="center"/>
    </w:pPr>
    <w:r>
      <w:rPr>
        <w:rFonts w:ascii="Times New Roman" w:cs="Times New Roman" w:eastAsia="Times New Roman" w:hAnsi="Times New Roman"/>
        <w:color w:val="666666"/>
        <w:sz w:val="16"/>
        <w:szCs w:val="16"/>
      </w:rPr>
      <w:t xml:space="preserve">Page </w:t>
    </w:r>
    <w:r>
      <w:rPr>
        <w:rFonts w:ascii="Times New Roman" w:cs="Times New Roman" w:eastAsia="Times New Roman" w:hAnsi="Times New Roman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66666"/>
        <w:sz w:val="16"/>
        <w:szCs w:val="16"/>
      </w:rPr>
      <w:t xml:space="preserve"> | Internal Use Only | 7-Year Retention Required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1" w:space="4"/>
      </w:pBdr>
      <w:jc w:val="right"/>
    </w:pPr>
    <w:r>
      <w:rPr>
        <w:rFonts w:ascii="Times New Roman" w:cs="Times New Roman" w:eastAsia="Times New Roman" w:hAnsi="Times New Roman"/>
        <w:b/>
        <w:bCs/>
        <w:color w:val="1B2A4A"/>
        <w:sz w:val="16"/>
        <w:szCs w:val="16"/>
      </w:rPr>
      <w:t xml:space="preserve">ITALY NIHAO GROUP LIMITED</w:t>
    </w:r>
    <w:r>
      <w:rPr>
        <w:rFonts w:ascii="Times New Roman" w:cs="Times New Roman" w:eastAsia="Times New Roman" w:hAnsi="Times New Roman"/>
        <w:color w:val="666666"/>
        <w:sz w:val="16"/>
        <w:szCs w:val="16"/>
      </w:rPr>
      <w:t xml:space="preserve"> | Client Due Diligence Report | STRICTLY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2026-02-20T11:54:08.316Z</dcterms:created>
  <dcterms:modified xsi:type="dcterms:W3CDTF">2026-02-20T11:54:08.316Z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