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40"/>
        <w:jc w:val="center"/>
      </w:pPr>
      <w:r>
        <w:rPr>
          <w:rFonts w:ascii="Times New Roman" w:cs="Times New Roman" w:eastAsia="Times New Roman" w:hAnsi="Times New Roman"/>
          <w:b/>
          <w:bCs/>
          <w:color w:val="1B2A4A"/>
          <w:sz w:val="36"/>
          <w:szCs w:val="36"/>
        </w:rPr>
        <w:t xml:space="preserve">NIHA CARBON CONSULTANCY LIMITED</w:t>
      </w:r>
    </w:p>
    <w:p>
      <w:pPr>
        <w:pBdr>
          <w:bottom w:val="single" w:color="2E75B6" w:sz="4" w:space="10"/>
        </w:pBdr>
        <w:spacing w:before="100"/>
        <w:jc w:val="center"/>
      </w:pPr>
      <w:r>
        <w:rPr>
          <w:sz w:val="12"/>
          <w:szCs w:val="12"/>
        </w:rPr>
        <w:t xml:space="preserve"> </w:t>
      </w:r>
    </w:p>
    <w:p>
      <w:pPr>
        <w:spacing w:before="400" w:after="140"/>
        <w:jc w:val="center"/>
      </w:pPr>
      <w:r>
        <w:rPr>
          <w:rFonts w:ascii="Times New Roman" w:cs="Times New Roman" w:eastAsia="Times New Roman" w:hAnsi="Times New Roman"/>
          <w:b/>
          <w:bCs/>
          <w:color w:val="2E75B6"/>
          <w:sz w:val="32"/>
          <w:szCs w:val="32"/>
        </w:rPr>
        <w:t xml:space="preserve">CLIENT TRANSACTION LEDGER</w:t>
      </w:r>
    </w:p>
    <w:p>
      <w:pPr>
        <w:spacing w:before="100" w:after="140"/>
        <w:jc w:val="center"/>
      </w:pPr>
      <w:r>
        <w:rPr>
          <w:rFonts w:ascii="Times New Roman" w:cs="Times New Roman" w:eastAsia="Times New Roman" w:hAnsi="Times New Roman"/>
          <w:color w:val="666666"/>
          <w:sz w:val="22"/>
          <w:szCs w:val="22"/>
        </w:rPr>
        <w:t xml:space="preserve">January 2026 — Monthly Detailed Report</w:t>
      </w:r>
    </w:p>
    <w:p>
      <w:pPr>
        <w:spacing w:before="6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Report Reference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NIHA-LEDGER-2026-01</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Reporting Period</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 January 2026 — 31 January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Report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5 February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Classification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STRICTLY CONFIDENTIAL</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Prepared By</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Operations &amp; Settlement Department</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Reviewed By</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Chief Financial Officer</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Total Transactions</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20</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Total Settlement Value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Approx. EUR 2.4 million equivalent</w:t>
            </w:r>
          </w:p>
        </w:tc>
      </w:tr>
    </w:tbl>
    <w:p>
      <w:r>
        <w:br w:type="page"/>
      </w:r>
    </w:p>
    <w:p>
      <w:pPr>
        <w:spacing w:before="400" w:after="200"/>
      </w:pPr>
      <w:r>
        <w:rPr>
          <w:rFonts w:ascii="Times New Roman" w:cs="Times New Roman" w:eastAsia="Times New Roman" w:hAnsi="Times New Roman"/>
          <w:b/>
          <w:bCs/>
          <w:caps/>
          <w:color w:val="1B2A4A"/>
          <w:sz w:val="26"/>
          <w:szCs w:val="26"/>
        </w:rPr>
        <w:t xml:space="preserve">1. MONTHLY SUMMARY</w:t>
      </w:r>
    </w:p>
    <w:p>
      <w:pPr>
        <w:spacing w:before="0" w:after="140"/>
      </w:pPr>
      <w:r>
        <w:rPr>
          <w:rFonts w:ascii="Times New Roman" w:cs="Times New Roman" w:eastAsia="Times New Roman" w:hAnsi="Times New Roman"/>
          <w:color w:val="333333"/>
          <w:sz w:val="22"/>
          <w:szCs w:val="22"/>
        </w:rPr>
        <w:t xml:space="preserve">This Client Transaction Ledger records all carbon credit transactions executed by NIHA Carbon Consultancy Limited during the month of January 2026. All transactions listed herein have been fully settled with no outstanding failures or disputes.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Metric</w:t>
            </w:r>
          </w:p>
        </w:tc>
        <w:tc>
          <w:tcPr>
            <w:tcW w:type="pct" w:w="3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Value</w:t>
            </w:r>
          </w:p>
        </w:tc>
        <w:tc>
          <w:tcPr>
            <w:tcW w:type="pct" w:w="3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Prior Month (Dec 2025)</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Total Transactions</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333333"/>
                <w:sz w:val="16"/>
                <w:szCs w:val="16"/>
              </w:rPr>
              <w:t xml:space="preserve">20</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17</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Buy Transactions</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12</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10</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Sell Transactions</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6</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5</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Conversion Transactions</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2</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2</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Unique Counterparties Active</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15</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13</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Settlement Rate</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100%</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27AE60"/>
                <w:sz w:val="16"/>
                <w:szCs w:val="16"/>
              </w:rPr>
              <w:t xml:space="preserve">100%</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Avg Transaction Value (EUR equiv.)</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EUR 120,000</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EUR 108,000</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Total Fees Earned</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333333"/>
                <w:sz w:val="16"/>
                <w:szCs w:val="16"/>
              </w:rPr>
              <w:t xml:space="preserve">EUR 48,745 equiv.</w:t>
            </w:r>
          </w:p>
        </w:tc>
        <w:tc>
          <w:tcPr>
            <w:tcW w:type="pct" w:w="3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EUR 39,210 equiv.</w:t>
            </w:r>
          </w:p>
        </w:tc>
      </w:tr>
    </w:tbl>
    <w:p>
      <w:pPr>
        <w:spacing w:before="200"/>
      </w:pPr>
    </w:p>
    <w:p>
      <w:pPr>
        <w:spacing w:before="0" w:after="140"/>
      </w:pPr>
      <w:r>
        <w:rPr>
          <w:rFonts w:ascii="Times New Roman" w:cs="Times New Roman" w:eastAsia="Times New Roman" w:hAnsi="Times New Roman"/>
          <w:b/>
          <w:bCs/>
          <w:color w:val="1B2A4A"/>
          <w:sz w:val="22"/>
          <w:szCs w:val="22"/>
        </w:rPr>
        <w:t xml:space="preserve">Volume by Instrument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Instrument</w:t>
            </w:r>
          </w:p>
        </w:tc>
        <w:tc>
          <w:tcPr>
            <w:tcW w:type="pct" w:w="17%"/>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Bought (qty)</w:t>
            </w:r>
          </w:p>
        </w:tc>
        <w:tc>
          <w:tcPr>
            <w:tcW w:type="pct" w:w="17%"/>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Sold (qty)</w:t>
            </w:r>
          </w:p>
        </w:tc>
        <w:tc>
          <w:tcPr>
            <w:tcW w:type="pct" w:w="18%"/>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Net Position Change</w:t>
            </w:r>
          </w:p>
        </w:tc>
        <w:tc>
          <w:tcPr>
            <w:tcW w:type="pct" w:w="18%"/>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Value (local ccy)</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EUA (EU Phase IV)</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11,200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9,000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+2,200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€1,400,630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CEA (Shenzhen)</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80,000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15,000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+65,000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¥6,189,000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CEA (National)</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20,000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+20,000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¥1,168,000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VCC (GS-VER)</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12,000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C0392B"/>
                <w:sz w:val="16"/>
                <w:szCs w:val="16"/>
              </w:rPr>
              <w:t xml:space="preserve">-12,000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$103,000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VCC (Verra VCU)</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8,000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+8,000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$48,700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VCC (Core Climate)</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12,000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+12,000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$105,000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CDM CER</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10,000</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+10,000</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$28,500</w:t>
            </w:r>
          </w:p>
        </w:tc>
      </w:tr>
      <w:tr>
        <w:tc>
          <w:tcPr>
            <w:tcW w:type="pct" w:w="3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6"/>
                <w:szCs w:val="16"/>
              </w:rPr>
              <w:t xml:space="preserve">CEA→EUA Conversions</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125,000 CEA</w:t>
            </w:r>
          </w:p>
        </w:tc>
        <w:tc>
          <w:tcPr>
            <w:tcW w:type="pct" w:w="17%"/>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14,713 EUA</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w:t>
            </w:r>
          </w:p>
        </w:tc>
        <w:tc>
          <w:tcPr>
            <w:tcW w:type="pct" w:w="18%"/>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€32,369 (fees)</w:t>
            </w:r>
          </w:p>
        </w:tc>
      </w:tr>
    </w:tbl>
    <w:p>
      <w:r>
        <w:br w:type="page"/>
      </w:r>
    </w:p>
    <w:p>
      <w:pPr>
        <w:spacing w:before="400" w:after="200"/>
      </w:pPr>
      <w:r>
        <w:rPr>
          <w:rFonts w:ascii="Times New Roman" w:cs="Times New Roman" w:eastAsia="Times New Roman" w:hAnsi="Times New Roman"/>
          <w:b/>
          <w:bCs/>
          <w:caps/>
          <w:color w:val="1B2A4A"/>
          <w:sz w:val="26"/>
          <w:szCs w:val="26"/>
        </w:rPr>
        <w:t xml:space="preserve">2. DETAILED TRANSACTION REGISTER</w:t>
      </w:r>
    </w:p>
    <w:p>
      <w:pPr>
        <w:spacing w:before="0" w:after="140"/>
      </w:pPr>
      <w:r>
        <w:rPr>
          <w:rFonts w:ascii="Times New Roman" w:cs="Times New Roman" w:eastAsia="Times New Roman" w:hAnsi="Times New Roman"/>
          <w:color w:val="333333"/>
          <w:sz w:val="22"/>
          <w:szCs w:val="22"/>
        </w:rPr>
        <w:t xml:space="preserve">The following table presents all transactions executed during January 2026 in chronological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tcPr>
            <w:tcW w:type="pct" w:w="5%"/>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Date</w:t>
            </w:r>
          </w:p>
        </w:tc>
        <w:tc>
          <w:tcPr>
            <w:tcW w:type="pct" w:w="6%"/>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Ref</w:t>
            </w:r>
          </w:p>
        </w:tc>
        <w:tc>
          <w:tcPr>
            <w:tcW w:type="pct" w:w="5%"/>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Type</w:t>
            </w:r>
          </w:p>
        </w:tc>
        <w:tc>
          <w:tcPr>
            <w:tcW w:type="pct" w:w="14%"/>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Counterparty</w:t>
            </w:r>
          </w:p>
        </w:tc>
        <w:tc>
          <w:tcPr>
            <w:tcW w:type="pct" w:w="1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Instrument</w:t>
            </w:r>
          </w:p>
        </w:tc>
        <w:tc>
          <w:tcPr>
            <w:tcW w:type="pct" w:w="6%"/>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Qty</w:t>
            </w:r>
          </w:p>
        </w:tc>
        <w:tc>
          <w:tcPr>
            <w:tcW w:type="pct" w:w="5%"/>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Price</w:t>
            </w:r>
          </w:p>
        </w:tc>
        <w:tc>
          <w:tcPr>
            <w:tcW w:type="pct" w:w="9%"/>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Gross</w:t>
            </w:r>
          </w:p>
        </w:tc>
        <w:tc>
          <w:tcPr>
            <w:tcW w:type="pct" w:w="6%"/>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Fee</w:t>
            </w:r>
          </w:p>
        </w:tc>
        <w:tc>
          <w:tcPr>
            <w:tcW w:type="pct" w:w="9%"/>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Net</w:t>
            </w:r>
          </w:p>
        </w:tc>
        <w:tc>
          <w:tcPr>
            <w:tcW w:type="pct" w:w="5%"/>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Status</w:t>
            </w:r>
          </w:p>
        </w:tc>
        <w:tc>
          <w:tcPr>
            <w:tcW w:type="pct" w:w="1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Registry Ref</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03-Jan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TC-0141</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Greenfield Carbon GmbH</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€68.15</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€136,300.00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€2,044.50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€138,344.50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EUTL-2026-00412</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06-Jan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TC-0142</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Nordic Climate Partners</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1,500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€68.90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€103,350.00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€1,550.25</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€101,799.75</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EUTL-2026-00418</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08-Jan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TC-0143</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Shanghai MingHe Industrial</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CEA (Shenzhen)</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50,000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¥52.30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¥2,615,000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¥52,300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¥2,667,300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CEEX-2026-SZ-0089</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10-Jan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TC-0144</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E75B6"/>
                <w:sz w:val="14"/>
                <w:szCs w:val="14"/>
              </w:rPr>
              <w:t xml:space="preserve">CONVERT</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Pacific Rim Clean Energy</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CEA→EUA</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85,000/10,005</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0.1177</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€22,011</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€22,011.00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CEEX/EUTL-CONV-0163</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13-Jan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TC-0145</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Guangzhou New Energy</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CEA (Shenzhen)</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30,000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¥53.10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¥1,593,000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¥31,860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¥1,624,860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CEEX-2026-SZ-0094</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14-Jan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TC-0146</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Rhein Energie Trading</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3,000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€69.28</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€207,840.00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€2,908.00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€210,748.00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EUTL-2026-00425</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15-Jan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TC-0147</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Greenfield Carbon GmbH</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€68.42</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€342,100.00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€5,131.50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€347,231.50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EUTL-2026-00431</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17-Jan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TC-0148</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Tokyo Carbon Asset Mgmt</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VCC (GS-VER)</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$8.50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$68,000.00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$1,700.00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$66,300.00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GSCC-2026-VCC-0047</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20-Jan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TC-0149</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West African Carbon Trading</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VCC (Verra VCU)</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$6.20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$31,000.00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$930.00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$31,930.00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VERRA-2026-VCU-0018</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21-Jan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TC-0150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Al Maktoum Carbon Inv.</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€69.75</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€69,750.00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€1,046.25</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€68,703.75</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EUTL-2026-00439</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22-Jan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TC-0151</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Baltic Green Commodities</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CEA (National)</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20,000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¥58.40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¥1,168,000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¥23,360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¥1,191,360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CNEA-2026-NAT-0022</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23-Jan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TC-0152</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Iberian Env. Solutions</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2,500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€70.10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€175,250.00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€2,628.75</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€172,621.25</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EUTL-2026-00445</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24-Jan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TC-0153</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E75B6"/>
                <w:sz w:val="14"/>
                <w:szCs w:val="14"/>
              </w:rPr>
              <w:t xml:space="preserve">CONVERT</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Greenfield Carbon GmbH</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CEA→EUA</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40,000/4,708</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0.1177</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€10,358</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€10,358.00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CEEX/EUTL-CONV-0171</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27-Jan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TC-0154</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Scandinavia Carbon Offset</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VCC (CDM CER)</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$2.85</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$28,500.00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$855.00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$29,355.00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UNFCCC-CDM-2026-0031</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28-Jan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TC-0155</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Pacific Rim Clean Energy</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4,000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€70.45</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€281,800.00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€4,227.00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€277,573.00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EUTL-2026-00452</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29-Jan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TC-0156</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Central European Climate</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EUA (EU Phase IV)</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1,200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€70.20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€84,240.00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€1,263.60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€85,503.60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EUTL-2026-00458</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30-Jan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TC-0157</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Greenfield Carbon GmbH</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VCC (GS-VER)</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4,000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$8.75</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$35,000.00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$875.00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$34,125.00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GSCC-2026-VCC-0052</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31-Jan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TC-0158</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Shanghai MingHe Industrial</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VCC (Core Climate)</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12,000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$8.75</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$105,000.00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$3,150.00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$108,150.00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HKEX-CC-2026-0158</w:t>
            </w:r>
          </w:p>
        </w:tc>
      </w:tr>
      <w:tr>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4"/>
                <w:szCs w:val="14"/>
              </w:rPr>
              <w:t xml:space="preserve">31-Jan</w:t>
            </w:r>
          </w:p>
        </w:tc>
        <w:tc>
          <w:tcPr>
            <w:tcW w:type="pct" w:w="6%"/>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b/>
                <w:bCs/>
                <w:color w:val="333333"/>
                <w:sz w:val="14"/>
                <w:szCs w:val="14"/>
              </w:rPr>
              <w:t xml:space="preserve">TC-0159</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C0392B"/>
                <w:sz w:val="14"/>
                <w:szCs w:val="14"/>
              </w:rPr>
              <w:t xml:space="preserve">SELL</w:t>
            </w:r>
          </w:p>
        </w:tc>
        <w:tc>
          <w:tcPr>
            <w:tcW w:type="pct" w:w="14%"/>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Hanoi Green Solutions</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4"/>
                <w:szCs w:val="14"/>
              </w:rPr>
              <w:t xml:space="preserve">CEA (Shenzhen)</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15,000</w:t>
            </w:r>
          </w:p>
        </w:tc>
        <w:tc>
          <w:tcPr>
            <w:tcW w:type="pct" w:w="5%"/>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¥54.20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¥813,000</w:t>
            </w:r>
          </w:p>
        </w:tc>
        <w:tc>
          <w:tcPr>
            <w:tcW w:type="pct" w:w="6%"/>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¥16,260</w:t>
            </w:r>
          </w:p>
        </w:tc>
        <w:tc>
          <w:tcPr>
            <w:tcW w:type="pct" w:w="9%"/>
            <w:tcBorders>
              <w:top w:val="single" w:color="CCCCCC" w:sz="1"/>
              <w:left w:val="single" w:color="CCCCCC" w:sz="1"/>
              <w:bottom w:val="single" w:color="CCCCCC" w:sz="1"/>
              <w:right w:val="single" w:color="CCCCCC" w:sz="1"/>
            </w:tcBorders>
          </w:tcPr>
          <w:p>
            <w:pPr>
              <w:spacing w:before="35" w:after="35"/>
              <w:jc w:val="right"/>
            </w:pPr>
            <w:r>
              <w:rPr>
                <w:rFonts w:ascii="Times New Roman" w:cs="Times New Roman" w:eastAsia="Times New Roman" w:hAnsi="Times New Roman"/>
                <w:color w:val="333333"/>
                <w:sz w:val="14"/>
                <w:szCs w:val="14"/>
              </w:rPr>
              <w:t xml:space="preserve">¥796,740</w:t>
            </w:r>
          </w:p>
        </w:tc>
        <w:tc>
          <w:tcPr>
            <w:tcW w:type="pct" w:w="5%"/>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3"/>
                <w:szCs w:val="13"/>
              </w:rPr>
              <w:t xml:space="preserve">CEEX-2026-SZ-0112</w:t>
            </w:r>
          </w:p>
        </w:tc>
      </w:tr>
      <w:tr>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color w:val="333333"/>
                <w:sz w:val="14"/>
                <w:szCs w:val="14"/>
              </w:rPr>
              <w:t xml:space="preserve">31-Jan</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b/>
                <w:bCs/>
                <w:color w:val="333333"/>
                <w:sz w:val="14"/>
                <w:szCs w:val="14"/>
              </w:rPr>
              <w:t xml:space="preserve">TC-0160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BUY</w:t>
            </w:r>
          </w:p>
        </w:tc>
        <w:tc>
          <w:tcPr>
            <w:tcW w:type="pct" w:w="14%"/>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Mumbai Sustainable Trdg</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4"/>
                <w:szCs w:val="14"/>
              </w:rPr>
              <w:t xml:space="preserve">VCC (Verra VCU)</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3,000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$5.90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$17,700.00</w:t>
            </w:r>
          </w:p>
        </w:tc>
        <w:tc>
          <w:tcPr>
            <w:tcW w:type="pct" w:w="6%"/>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$531.00</w:t>
            </w:r>
          </w:p>
        </w:tc>
        <w:tc>
          <w:tcPr>
            <w:tcW w:type="pct" w:w="9%"/>
            <w:tcBorders>
              <w:top w:val="single" w:color="CCCCCC" w:sz="1"/>
              <w:left w:val="single" w:color="CCCCCC" w:sz="1"/>
              <w:bottom w:val="single" w:color="CCCCCC" w:sz="1"/>
              <w:right w:val="single" w:color="CCCCCC" w:sz="1"/>
            </w:tcBorders>
            <w:shd w:color="F8FAFC" w:val="solid"/>
          </w:tcPr>
          <w:p>
            <w:pPr>
              <w:spacing w:before="35" w:after="35"/>
              <w:jc w:val="right"/>
            </w:pPr>
            <w:r>
              <w:rPr>
                <w:rFonts w:ascii="Times New Roman" w:cs="Times New Roman" w:eastAsia="Times New Roman" w:hAnsi="Times New Roman"/>
                <w:color w:val="333333"/>
                <w:sz w:val="14"/>
                <w:szCs w:val="14"/>
              </w:rPr>
              <w:t xml:space="preserve">$18,231.00</w:t>
            </w:r>
          </w:p>
        </w:tc>
        <w:tc>
          <w:tcPr>
            <w:tcW w:type="pct" w:w="5%"/>
            <w:tcBorders>
              <w:top w:val="single" w:color="CCCCCC" w:sz="1"/>
              <w:left w:val="single" w:color="CCCCCC" w:sz="1"/>
              <w:bottom w:val="single" w:color="CCCCCC" w:sz="1"/>
              <w:right w:val="single" w:color="CCCCCC" w:sz="1"/>
            </w:tcBorders>
            <w:shd w:color="F8FAFC" w:val="solid"/>
          </w:tcPr>
          <w:p>
            <w:pPr>
              <w:spacing w:before="35" w:after="35"/>
              <w:jc w:val="center"/>
            </w:pPr>
            <w:r>
              <w:rPr>
                <w:rFonts w:ascii="Times New Roman" w:cs="Times New Roman" w:eastAsia="Times New Roman" w:hAnsi="Times New Roman"/>
                <w:b/>
                <w:bCs/>
                <w:color w:val="27AE60"/>
                <w:sz w:val="14"/>
                <w:szCs w:val="14"/>
              </w:rPr>
              <w:t xml:space="preserve">SETTLED</w:t>
            </w:r>
          </w:p>
        </w:tc>
        <w:tc>
          <w:tcPr>
            <w:tcW w:type="pct" w:w="10%"/>
            <w:tcBorders>
              <w:top w:val="single" w:color="CCCCCC" w:sz="1"/>
              <w:left w:val="single" w:color="CCCCCC" w:sz="1"/>
              <w:bottom w:val="single" w:color="CCCCCC" w:sz="1"/>
              <w:right w:val="single" w:color="CCCCCC" w:sz="1"/>
            </w:tcBorders>
            <w:shd w:color="F8FAFC" w:val="solid"/>
          </w:tcPr>
          <w:p>
            <w:pPr>
              <w:spacing w:before="35" w:after="35"/>
              <w:jc w:val="left"/>
            </w:pPr>
            <w:r>
              <w:rPr>
                <w:rFonts w:ascii="Times New Roman" w:cs="Times New Roman" w:eastAsia="Times New Roman" w:hAnsi="Times New Roman"/>
                <w:color w:val="333333"/>
                <w:sz w:val="13"/>
                <w:szCs w:val="13"/>
              </w:rPr>
              <w:t xml:space="preserve">VERRA-2026-VCU-0024</w:t>
            </w:r>
          </w:p>
        </w:tc>
      </w:tr>
    </w:tbl>
    <w:p>
      <w:r>
        <w:br w:type="page"/>
      </w:r>
    </w:p>
    <w:p>
      <w:pPr>
        <w:spacing w:before="400" w:after="200"/>
      </w:pPr>
      <w:r>
        <w:rPr>
          <w:rFonts w:ascii="Times New Roman" w:cs="Times New Roman" w:eastAsia="Times New Roman" w:hAnsi="Times New Roman"/>
          <w:b/>
          <w:bCs/>
          <w:caps/>
          <w:color w:val="1B2A4A"/>
          <w:sz w:val="26"/>
          <w:szCs w:val="26"/>
        </w:rPr>
        <w:t xml:space="preserve">3. SETTLEMENT RECONCILIATION</w:t>
      </w:r>
    </w:p>
    <w:p>
      <w:pPr>
        <w:spacing w:before="0" w:after="140"/>
      </w:pPr>
      <w:r>
        <w:rPr>
          <w:rFonts w:ascii="Times New Roman" w:cs="Times New Roman" w:eastAsia="Times New Roman" w:hAnsi="Times New Roman"/>
          <w:color w:val="333333"/>
          <w:sz w:val="22"/>
          <w:szCs w:val="22"/>
        </w:rPr>
        <w:t xml:space="preserve">All 20 transactions for January 2026 have been reconciled against the following:</w:t>
      </w:r>
    </w:p>
    <w:p>
      <w:pPr>
        <w:spacing w:before="0" w:after="140"/>
        <w:ind w:left="360"/>
      </w:pPr>
      <w:r>
        <w:rPr>
          <w:rFonts w:ascii="Times New Roman" w:cs="Times New Roman" w:eastAsia="Times New Roman" w:hAnsi="Times New Roman"/>
          <w:color w:val="333333"/>
          <w:sz w:val="22"/>
          <w:szCs w:val="22"/>
        </w:rPr>
        <w:t xml:space="preserve">(a) Registry transfer confirmations (EUTL, CEEX, HKEX Core Climate, UNFCCC CDM Registry, Verra Registry, Gold Standard Registry);</w:t>
      </w:r>
    </w:p>
    <w:p>
      <w:pPr>
        <w:spacing w:before="0" w:after="140"/>
        <w:ind w:left="360"/>
      </w:pPr>
      <w:r>
        <w:rPr>
          <w:rFonts w:ascii="Times New Roman" w:cs="Times New Roman" w:eastAsia="Times New Roman" w:hAnsi="Times New Roman"/>
          <w:color w:val="333333"/>
          <w:sz w:val="22"/>
          <w:szCs w:val="22"/>
        </w:rPr>
        <w:t xml:space="preserve">(b) Bank settlement confirmations (HSBC, Bank of China, Standard Chartered);</w:t>
      </w:r>
    </w:p>
    <w:p>
      <w:pPr>
        <w:spacing w:before="0" w:after="140"/>
        <w:ind w:left="360"/>
      </w:pPr>
      <w:r>
        <w:rPr>
          <w:rFonts w:ascii="Times New Roman" w:cs="Times New Roman" w:eastAsia="Times New Roman" w:hAnsi="Times New Roman"/>
          <w:color w:val="333333"/>
          <w:sz w:val="22"/>
          <w:szCs w:val="22"/>
        </w:rPr>
        <w:t xml:space="preserve">(c) Internal trade booking system records;</w:t>
      </w:r>
    </w:p>
    <w:p>
      <w:pPr>
        <w:spacing w:before="0" w:after="140"/>
        <w:ind w:left="360"/>
      </w:pPr>
      <w:r>
        <w:rPr>
          <w:rFonts w:ascii="Times New Roman" w:cs="Times New Roman" w:eastAsia="Times New Roman" w:hAnsi="Times New Roman"/>
          <w:color w:val="333333"/>
          <w:sz w:val="22"/>
          <w:szCs w:val="22"/>
        </w:rPr>
        <w:t xml:space="preserve">(d) Counterparty confirmations received.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Reconciliation Item</w:t>
            </w:r>
          </w:p>
        </w:tc>
        <w:tc>
          <w:tcPr>
            <w:tcW w:type="pct" w:w="2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Status</w:t>
            </w:r>
          </w:p>
        </w:tc>
        <w:tc>
          <w:tcPr>
            <w:tcW w:type="pct" w:w="2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Discrepancies</w:t>
            </w:r>
          </w:p>
        </w:tc>
        <w:tc>
          <w:tcPr>
            <w:tcW w:type="pct" w:w="20%"/>
            <w:tcBorders>
              <w:top w:val="single" w:color="CCCCCC" w:sz="1"/>
              <w:left w:val="single" w:color="CCCCCC" w:sz="1"/>
              <w:bottom w:val="single" w:color="CCCCCC" w:sz="1"/>
              <w:right w:val="single" w:color="CCCCCC" w:sz="1"/>
            </w:tcBorders>
            <w:shd w:color="1B2A4A" w:val="solid"/>
          </w:tcPr>
          <w:p>
            <w:pPr>
              <w:spacing w:before="40" w:after="40"/>
              <w:jc w:val="center"/>
            </w:pPr>
            <w:r>
              <w:rPr>
                <w:rFonts w:ascii="Times New Roman" w:cs="Times New Roman" w:eastAsia="Times New Roman" w:hAnsi="Times New Roman"/>
                <w:b/>
                <w:bCs/>
                <w:color w:val="FFFFFF"/>
                <w:sz w:val="16"/>
                <w:szCs w:val="16"/>
              </w:rPr>
              <w:t xml:space="preserve">Resolution</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Trade bookings vs. confirmations</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Reconciled</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N/A</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Registry transfers vs. trade tickets</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Reconciled</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N/A</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Bank settlements vs. invoices</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Reconciled</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N/A</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Client fee calculations</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Reconciled</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N/A</w:t>
            </w:r>
          </w:p>
        </w:tc>
      </w:tr>
      <w:tr>
        <w:tc>
          <w:tcPr>
            <w:tcW w:type="pct" w:w="40%"/>
            <w:tcBorders>
              <w:top w:val="single" w:color="CCCCCC" w:sz="1"/>
              <w:left w:val="single" w:color="CCCCCC" w:sz="1"/>
              <w:bottom w:val="single" w:color="CCCCCC" w:sz="1"/>
              <w:right w:val="single" w:color="CCCCCC" w:sz="1"/>
            </w:tcBorders>
          </w:tcPr>
          <w:p>
            <w:pPr>
              <w:spacing w:before="35" w:after="35"/>
              <w:jc w:val="left"/>
            </w:pPr>
            <w:r>
              <w:rPr>
                <w:rFonts w:ascii="Times New Roman" w:cs="Times New Roman" w:eastAsia="Times New Roman" w:hAnsi="Times New Roman"/>
                <w:color w:val="333333"/>
                <w:sz w:val="16"/>
                <w:szCs w:val="16"/>
              </w:rPr>
              <w:t xml:space="preserve">SAFE quota utilisation (CEA)</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b/>
                <w:bCs/>
                <w:color w:val="27AE60"/>
                <w:sz w:val="16"/>
                <w:szCs w:val="16"/>
              </w:rPr>
              <w:t xml:space="preserve">Reconciled</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0</w:t>
            </w:r>
          </w:p>
        </w:tc>
        <w:tc>
          <w:tcPr>
            <w:tcW w:type="pct" w:w="20%"/>
            <w:tcBorders>
              <w:top w:val="single" w:color="CCCCCC" w:sz="1"/>
              <w:left w:val="single" w:color="CCCCCC" w:sz="1"/>
              <w:bottom w:val="single" w:color="CCCCCC" w:sz="1"/>
              <w:right w:val="single" w:color="CCCCCC" w:sz="1"/>
            </w:tcBorders>
          </w:tcPr>
          <w:p>
            <w:pPr>
              <w:spacing w:before="35" w:after="35"/>
              <w:jc w:val="center"/>
            </w:pPr>
            <w:r>
              <w:rPr>
                <w:rFonts w:ascii="Times New Roman" w:cs="Times New Roman" w:eastAsia="Times New Roman" w:hAnsi="Times New Roman"/>
                <w:color w:val="333333"/>
                <w:sz w:val="16"/>
                <w:szCs w:val="16"/>
              </w:rPr>
              <w:t xml:space="preserve">N/A</w:t>
            </w:r>
          </w:p>
        </w:tc>
      </w:tr>
    </w:tbl>
    <w:p>
      <w:pPr>
        <w:spacing w:before="300"/>
      </w:pPr>
    </w:p>
    <w:p>
      <w:pPr>
        <w:spacing w:before="400" w:after="140"/>
      </w:pPr>
      <w:r>
        <w:rPr>
          <w:rFonts w:ascii="Times New Roman" w:cs="Times New Roman" w:eastAsia="Times New Roman" w:hAnsi="Times New Roman"/>
          <w:b/>
          <w:bCs/>
          <w:color w:val="1B2A4A"/>
          <w:sz w:val="22"/>
          <w:szCs w:val="22"/>
        </w:rPr>
        <w:t xml:space="preserve">Prepared by:</w:t>
      </w:r>
    </w:p>
    <w:p>
      <w:pPr>
        <w:spacing w:before="300"/>
      </w:pPr>
    </w:p>
    <w:p>
      <w:pPr>
        <w:spacing w:before="0" w:after="140"/>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James K.H. Ng</w:t>
      </w:r>
    </w:p>
    <w:p>
      <w:pPr>
        <w:spacing w:before="0" w:after="140"/>
      </w:pPr>
      <w:r>
        <w:rPr>
          <w:rFonts w:ascii="Times New Roman" w:cs="Times New Roman" w:eastAsia="Times New Roman" w:hAnsi="Times New Roman"/>
          <w:color w:val="666666"/>
          <w:sz w:val="22"/>
          <w:szCs w:val="22"/>
        </w:rPr>
        <w:t xml:space="preserve">Head of Operations &amp; Settlement</w:t>
      </w:r>
    </w:p>
    <w:p>
      <w:pPr>
        <w:spacing w:before="0" w:after="140"/>
      </w:pPr>
      <w:r>
        <w:rPr>
          <w:rFonts w:ascii="Times New Roman" w:cs="Times New Roman" w:eastAsia="Times New Roman" w:hAnsi="Times New Roman"/>
          <w:color w:val="333333"/>
          <w:sz w:val="22"/>
          <w:szCs w:val="22"/>
        </w:rPr>
        <w:t xml:space="preserve">Date: 5 February 2026</w:t>
      </w:r>
    </w:p>
    <w:p>
      <w:pPr>
        <w:spacing w:before="400"/>
      </w:pPr>
    </w:p>
    <w:p>
      <w:pPr>
        <w:spacing w:before="0" w:after="140"/>
      </w:pPr>
      <w:r>
        <w:rPr>
          <w:rFonts w:ascii="Times New Roman" w:cs="Times New Roman" w:eastAsia="Times New Roman" w:hAnsi="Times New Roman"/>
          <w:b/>
          <w:bCs/>
          <w:color w:val="1B2A4A"/>
          <w:sz w:val="22"/>
          <w:szCs w:val="22"/>
        </w:rPr>
        <w:t xml:space="preserve">Reviewed and approved by:</w:t>
      </w:r>
    </w:p>
    <w:p>
      <w:pPr>
        <w:spacing w:before="300"/>
      </w:pPr>
    </w:p>
    <w:p>
      <w:pPr>
        <w:spacing w:before="0" w:after="140"/>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Michael T.S. Wong</w:t>
      </w:r>
    </w:p>
    <w:p>
      <w:pPr>
        <w:spacing w:before="0" w:after="140"/>
      </w:pPr>
      <w:r>
        <w:rPr>
          <w:rFonts w:ascii="Times New Roman" w:cs="Times New Roman" w:eastAsia="Times New Roman" w:hAnsi="Times New Roman"/>
          <w:color w:val="666666"/>
          <w:sz w:val="22"/>
          <w:szCs w:val="22"/>
        </w:rPr>
        <w:t xml:space="preserve">Chief Financial Officer</w:t>
      </w:r>
    </w:p>
    <w:p>
      <w:pPr>
        <w:spacing w:before="0" w:after="140"/>
      </w:pPr>
      <w:r>
        <w:rPr>
          <w:rFonts w:ascii="Times New Roman" w:cs="Times New Roman" w:eastAsia="Times New Roman" w:hAnsi="Times New Roman"/>
          <w:color w:val="333333"/>
          <w:sz w:val="22"/>
          <w:szCs w:val="22"/>
        </w:rPr>
        <w:t xml:space="preserve">Date: 6 February 2026</w:t>
      </w:r>
    </w:p>
    <w:p>
      <w:pPr>
        <w:spacing w:before="400"/>
      </w:pPr>
    </w:p>
    <w:p>
      <w:pPr>
        <w:spacing w:before="0" w:after="140"/>
        <w:jc w:val="center"/>
      </w:pPr>
      <w:r>
        <w:rPr>
          <w:rFonts w:ascii="Times New Roman" w:cs="Times New Roman" w:eastAsia="Times New Roman" w:hAnsi="Times New Roman"/>
          <w:b/>
          <w:bCs/>
          <w:color w:val="1B2A4A"/>
          <w:sz w:val="24"/>
          <w:szCs w:val="24"/>
        </w:rPr>
        <w:t xml:space="preserve">— END OF LEDGER —</w:t>
      </w:r>
    </w:p>
    <w:sectPr>
      <w:headerReference w:type="default" r:id="rId6"/>
      <w:footerReference w:type="default" r:id="rId7"/>
      <w:pgSz w:w="15840" w:h="12240" w:orient="portrait"/>
      <w:pgMar w:top="10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Ref: NIHA-LEDGER-2026-01  |  STRICTLY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80"/>
      <w:jc w:val="left"/>
    </w:pPr>
    <w:r>
      <w:rPr>
        <w:rFonts w:ascii="Times New Roman" w:cs="Times New Roman" w:eastAsia="Times New Roman" w:hAnsi="Times New Roman"/>
        <w:b/>
        <w:bCs/>
        <w:color w:val="1B2A4A"/>
        <w:sz w:val="16"/>
        <w:szCs w:val="16"/>
      </w:rPr>
      <w:t xml:space="preserve">NIHA CARBON CONSULTANCY LIMITED</w:t>
    </w:r>
    <w:r>
      <w:rPr>
        <w:rFonts w:ascii="Times New Roman" w:cs="Times New Roman" w:eastAsia="Times New Roman" w:hAnsi="Times New Roman"/>
        <w:color w:val="666666"/>
        <w:sz w:val="16"/>
        <w:szCs w:val="16"/>
      </w:rPr>
      <w:t xml:space="preserve">   |   Client Transaction Ledger — January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2026-02-20T12:33:25.006Z</dcterms:created>
  <dcterms:modified xsi:type="dcterms:W3CDTF">2026-02-20T12:33:25.006Z</dcterms:modified>
</cp:coreProperties>
</file>

<file path=docProps/custom.xml><?xml version="1.0" encoding="utf-8"?>
<Properties xmlns="http://schemas.openxmlformats.org/officeDocument/2006/custom-properties" xmlns:vt="http://schemas.openxmlformats.org/officeDocument/2006/docPropsVTypes"/>
</file>