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2A4A"/>
          <w:sz w:val="40"/>
          <w:szCs w:val="40"/>
        </w:rPr>
        <w:t xml:space="preserve">COMPLIANCE POLICY MANUAL</w:t>
      </w:r>
    </w:p>
    <w:p>
      <w:pPr>
        <w:spacing w:after="100"/>
        <w:jc w:val="center"/>
      </w:pPr>
      <w:r>
        <w:rPr>
          <w:rFonts w:ascii="Arial" w:cs="Arial" w:eastAsia="Arial" w:hAnsi="Arial"/>
          <w:color w:val="666666"/>
          <w:sz w:val="24"/>
          <w:szCs w:val="24"/>
        </w:rPr>
        <w:t xml:space="preserve">Anti-Money Laundering, Know Your Customer,</w:t>
      </w:r>
      <w:r>
        <w:rPr>
          <w:rFonts w:ascii="Arial" w:cs="Arial" w:eastAsia="Arial" w:hAnsi="Arial"/>
          <w:color w:val="666666"/>
          <w:sz w:val="24"/>
          <w:szCs w:val="24"/>
        </w:rPr>
        <w:br/>
        <w:t xml:space="preserve">
and Operational Compliance Framework</w:t>
      </w:r>
    </w:p>
    <w:p>
      <w:pPr>
        <w:pBdr>
          <w:top w:val="single" w:color="10B981" w:sz="2" w:space="8"/>
        </w:pBdr>
        <w:spacing w:before="400"/>
        <w:jc w:val="center"/>
      </w:pPr>
      <w:r>
        <w:rPr>
          <w:rFonts w:ascii="Arial" w:cs="Arial" w:eastAsia="Arial" w:hAnsi="Arial"/>
          <w:b/>
          <w:bCs/>
          <w:color w:val="1B2A4A"/>
          <w:sz w:val="24"/>
          <w:szCs w:val="24"/>
        </w:rPr>
        <w:t xml:space="preserve">Italy Nihao Group Limited</w:t>
      </w:r>
      <w:r>
        <w:rPr>
          <w:rFonts w:ascii="Arial" w:cs="Arial" w:eastAsia="Arial" w:hAnsi="Arial"/>
          <w:color w:val="666666"/>
          <w:sz w:val="22"/>
          <w:szCs w:val="22"/>
        </w:rPr>
        <w:br/>
        <w:t xml:space="preserve">
Hong Kong SAR</w:t>
      </w:r>
    </w:p>
    <w:p>
      <w:pPr>
        <w:spacing w:before="600"/>
        <w:jc w:val="center"/>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2A4A"/>
                <w:sz w:val="18"/>
                <w:szCs w:val="18"/>
              </w:rPr>
              <w:t xml:space="preserve">Version: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1.0</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2A4A"/>
                <w:sz w:val="18"/>
                <w:szCs w:val="18"/>
              </w:rPr>
              <w:t xml:space="preserve">Effective: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February 2026</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2A4A"/>
                <w:sz w:val="18"/>
                <w:szCs w:val="18"/>
              </w:rPr>
              <w:t xml:space="preserve">Next Review: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February 2027</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2A4A"/>
                <w:sz w:val="18"/>
                <w:szCs w:val="18"/>
              </w:rPr>
              <w:t xml:space="preserve">Approved by: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[Name, Title]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2A4A"/>
                <w:sz w:val="18"/>
                <w:szCs w:val="18"/>
              </w:rPr>
              <w:t xml:space="preserve">Classification: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INTERNAL — RESTRICTED</w:t>
            </w:r>
          </w:p>
        </w:tc>
      </w:tr>
    </w:tbl>
    <w:p>
      <w:r>
        <w:br w:type="page"/>
      </w:r>
    </w:p>
    <w:p>
      <w:pPr>
        <w:pBdr>
          <w:bottom w:val="single" w:color="1B2A4A" w:sz="2" w:space="6"/>
        </w:pBdr>
        <w:spacing w:before="400" w:after="200"/>
      </w:pPr>
      <w:r>
        <w:rPr>
          <w:rFonts w:ascii="Arial" w:cs="Arial" w:eastAsia="Arial" w:hAnsi="Arial"/>
          <w:b/>
          <w:bCs/>
          <w:color w:val="1B2A4A"/>
          <w:sz w:val="28"/>
          <w:szCs w:val="28"/>
        </w:rPr>
        <w:t xml:space="preserve">1. PURPOSE AND SCOPE</w:t>
      </w:r>
    </w:p>
    <w:p>
      <w:pPr>
        <w:spacing w:after="130"/>
      </w:pPr>
      <w:r>
        <w:rPr>
          <w:rFonts w:ascii="Arial" w:cs="Arial" w:eastAsia="Arial" w:hAnsi="Arial"/>
          <w:color w:val="333333"/>
          <w:sz w:val="21"/>
          <w:szCs w:val="21"/>
        </w:rPr>
        <w:t xml:space="preserve">This Compliance Policy Manual (“Manual”) establishes the anti-money laundering (AML), know your customer (KYC), and operational compliance framework for Italy Nihao Group Limited (“NIHA” or the “Company”).</w:t>
      </w:r>
    </w:p>
    <w:p>
      <w:pPr>
        <w:spacing w:after="130"/>
      </w:pPr>
      <w:r>
        <w:rPr>
          <w:rFonts w:ascii="Arial" w:cs="Arial" w:eastAsia="Arial" w:hAnsi="Arial"/>
          <w:color w:val="333333"/>
          <w:sz w:val="21"/>
          <w:szCs w:val="21"/>
        </w:rPr>
        <w:t xml:space="preserve">This Manual applies to all directors, officers, employees, and contractors of the Company and governs all interactions with clients and counterparties in relation to the Company’s carbon credit trading operations.</w:t>
      </w:r>
    </w:p>
    <w:p>
      <w:pPr>
        <w:spacing w:after="130"/>
      </w:pPr>
      <w:r>
        <w:rPr>
          <w:rFonts w:ascii="Arial" w:cs="Arial" w:eastAsia="Arial" w:hAnsi="Arial"/>
          <w:color w:val="333333"/>
          <w:sz w:val="21"/>
          <w:szCs w:val="21"/>
        </w:rPr>
        <w:t xml:space="preserve">Although NIHA is not required to hold a dedicated carbon trading license in Hong Kong, the Company voluntarily adopts compliance standards aligned with:</w:t>
      </w:r>
    </w:p>
    <w:p>
      <w:pPr>
        <w:pStyle w:val="ListParagraph"/>
        <w:numPr>
          <w:ilvl w:val="0"/>
          <w:numId w:val="2"/>
        </w:numPr>
        <w:spacing w:after="80"/>
      </w:pPr>
      <w:r>
        <w:rPr>
          <w:rFonts w:ascii="Arial" w:cs="Arial" w:eastAsia="Arial" w:hAnsi="Arial"/>
          <w:color w:val="333333"/>
          <w:sz w:val="21"/>
          <w:szCs w:val="21"/>
        </w:rPr>
        <w:t xml:space="preserve">Anti-Money Laundering and Counter-Terrorist Financing Ordinance (applicable anti-money laundering legislation), applicable anti-money laundering legislation</w:t>
      </w:r>
    </w:p>
    <w:p>
      <w:pPr>
        <w:pStyle w:val="ListParagraph"/>
        <w:numPr>
          <w:ilvl w:val="0"/>
          <w:numId w:val="2"/>
        </w:numPr>
        <w:spacing w:after="80"/>
      </w:pPr>
      <w:r>
        <w:rPr>
          <w:rFonts w:ascii="Arial" w:cs="Arial" w:eastAsia="Arial" w:hAnsi="Arial"/>
          <w:color w:val="333333"/>
          <w:sz w:val="21"/>
          <w:szCs w:val="21"/>
        </w:rPr>
        <w:t xml:space="preserve">FATF Recommendations (Financial Action Task Force)</w:t>
      </w:r>
    </w:p>
    <w:p>
      <w:pPr>
        <w:pStyle w:val="ListParagraph"/>
        <w:numPr>
          <w:ilvl w:val="0"/>
          <w:numId w:val="2"/>
        </w:numPr>
        <w:spacing w:after="80"/>
      </w:pPr>
      <w:r>
        <w:rPr>
          <w:rFonts w:ascii="Arial" w:cs="Arial" w:eastAsia="Arial" w:hAnsi="Arial"/>
          <w:color w:val="333333"/>
          <w:sz w:val="21"/>
          <w:szCs w:val="21"/>
        </w:rPr>
        <w:t xml:space="preserve">the applicable regulatory authority Guidelines on AML/CFT (adapted for non-licensed entities)</w:t>
      </w:r>
    </w:p>
    <w:p>
      <w:pPr>
        <w:pStyle w:val="ListParagraph"/>
        <w:numPr>
          <w:ilvl w:val="0"/>
          <w:numId w:val="2"/>
        </w:numPr>
        <w:spacing w:after="80"/>
      </w:pPr>
      <w:r>
        <w:rPr>
          <w:rFonts w:ascii="Arial" w:cs="Arial" w:eastAsia="Arial" w:hAnsi="Arial"/>
          <w:color w:val="333333"/>
          <w:sz w:val="21"/>
          <w:szCs w:val="21"/>
        </w:rPr>
        <w:t xml:space="preserve">applicable companies legislation in Hong Kong — corporate governance requirements</w:t>
      </w:r>
    </w:p>
    <w:p>
      <w:pPr>
        <w:pStyle w:val="ListParagraph"/>
        <w:numPr>
          <w:ilvl w:val="0"/>
          <w:numId w:val="2"/>
        </w:numPr>
        <w:spacing w:after="80"/>
      </w:pPr>
      <w:r>
        <w:rPr>
          <w:rFonts w:ascii="Arial" w:cs="Arial" w:eastAsia="Arial" w:hAnsi="Arial"/>
          <w:color w:val="333333"/>
          <w:sz w:val="21"/>
          <w:szCs w:val="21"/>
        </w:rPr>
        <w:t xml:space="preserve">applicable data protection legislation in Hong Kong — data handling</w:t>
      </w:r>
    </w:p>
    <w:p>
      <w:pPr>
        <w:pBdr>
          <w:bottom w:val="single" w:color="1B2A4A" w:sz="2" w:space="6"/>
        </w:pBdr>
        <w:spacing w:before="400" w:after="200"/>
      </w:pPr>
      <w:r>
        <w:rPr>
          <w:rFonts w:ascii="Arial" w:cs="Arial" w:eastAsia="Arial" w:hAnsi="Arial"/>
          <w:b/>
          <w:bCs/>
          <w:color w:val="1B2A4A"/>
          <w:sz w:val="28"/>
          <w:szCs w:val="28"/>
        </w:rPr>
        <w:t xml:space="preserve">2. COMPLIANCE GOVERNANCE</w:t>
      </w:r>
    </w:p>
    <w:p>
      <w:pPr>
        <w:spacing w:before="260" w:after="140"/>
      </w:pPr>
      <w:r>
        <w:rPr>
          <w:rFonts w:ascii="Arial" w:cs="Arial" w:eastAsia="Arial" w:hAnsi="Arial"/>
          <w:b/>
          <w:bCs/>
          <w:color w:val="1B2A4A"/>
          <w:sz w:val="23"/>
          <w:szCs w:val="23"/>
        </w:rPr>
        <w:t xml:space="preserve">2.1 Compliance Officer</w:t>
      </w:r>
    </w:p>
    <w:p>
      <w:pPr>
        <w:spacing w:after="130"/>
      </w:pPr>
      <w:r>
        <w:rPr>
          <w:rFonts w:ascii="Arial" w:cs="Arial" w:eastAsia="Arial" w:hAnsi="Arial"/>
          <w:color w:val="333333"/>
          <w:sz w:val="21"/>
          <w:szCs w:val="21"/>
        </w:rPr>
        <w:t xml:space="preserve">The Board of Directors shall appoint a Compliance Officer (“CO”) with responsibility for:</w:t>
      </w:r>
    </w:p>
    <w:p>
      <w:pPr>
        <w:pStyle w:val="ListParagraph"/>
        <w:numPr>
          <w:ilvl w:val="0"/>
          <w:numId w:val="2"/>
        </w:numPr>
        <w:spacing w:after="80"/>
      </w:pPr>
      <w:r>
        <w:rPr>
          <w:rFonts w:ascii="Arial" w:cs="Arial" w:eastAsia="Arial" w:hAnsi="Arial"/>
          <w:color w:val="333333"/>
          <w:sz w:val="21"/>
          <w:szCs w:val="21"/>
        </w:rPr>
        <w:t xml:space="preserve">Implementing and maintaining this Manual;</w:t>
      </w:r>
    </w:p>
    <w:p>
      <w:pPr>
        <w:pStyle w:val="ListParagraph"/>
        <w:numPr>
          <w:ilvl w:val="0"/>
          <w:numId w:val="2"/>
        </w:numPr>
        <w:spacing w:after="80"/>
      </w:pPr>
      <w:r>
        <w:rPr>
          <w:rFonts w:ascii="Arial" w:cs="Arial" w:eastAsia="Arial" w:hAnsi="Arial"/>
          <w:color w:val="333333"/>
          <w:sz w:val="21"/>
          <w:szCs w:val="21"/>
        </w:rPr>
        <w:t xml:space="preserve">Overseeing client onboarding and ongoing due diligence;</w:t>
      </w:r>
    </w:p>
    <w:p>
      <w:pPr>
        <w:pStyle w:val="ListParagraph"/>
        <w:numPr>
          <w:ilvl w:val="0"/>
          <w:numId w:val="2"/>
        </w:numPr>
        <w:spacing w:after="80"/>
      </w:pPr>
      <w:r>
        <w:rPr>
          <w:rFonts w:ascii="Arial" w:cs="Arial" w:eastAsia="Arial" w:hAnsi="Arial"/>
          <w:color w:val="333333"/>
          <w:sz w:val="21"/>
          <w:szCs w:val="21"/>
        </w:rPr>
        <w:t xml:space="preserve">Monitoring transactions for suspicious activity;</w:t>
      </w:r>
    </w:p>
    <w:p>
      <w:pPr>
        <w:pStyle w:val="ListParagraph"/>
        <w:numPr>
          <w:ilvl w:val="0"/>
          <w:numId w:val="2"/>
        </w:numPr>
        <w:spacing w:after="80"/>
      </w:pPr>
      <w:r>
        <w:rPr>
          <w:rFonts w:ascii="Arial" w:cs="Arial" w:eastAsia="Arial" w:hAnsi="Arial"/>
          <w:color w:val="333333"/>
          <w:sz w:val="21"/>
          <w:szCs w:val="21"/>
        </w:rPr>
        <w:t xml:space="preserve">Filing Suspicious Transaction Reports (STRs) with the Joint Financial Intelligence Unit (JFIU);</w:t>
      </w:r>
    </w:p>
    <w:p>
      <w:pPr>
        <w:pStyle w:val="ListParagraph"/>
        <w:numPr>
          <w:ilvl w:val="0"/>
          <w:numId w:val="2"/>
        </w:numPr>
        <w:spacing w:after="80"/>
      </w:pPr>
      <w:r>
        <w:rPr>
          <w:rFonts w:ascii="Arial" w:cs="Arial" w:eastAsia="Arial" w:hAnsi="Arial"/>
          <w:color w:val="333333"/>
          <w:sz w:val="21"/>
          <w:szCs w:val="21"/>
        </w:rPr>
        <w:t xml:space="preserve">Providing compliance training to all staff;</w:t>
      </w:r>
    </w:p>
    <w:p>
      <w:pPr>
        <w:pStyle w:val="ListParagraph"/>
        <w:numPr>
          <w:ilvl w:val="0"/>
          <w:numId w:val="2"/>
        </w:numPr>
        <w:spacing w:after="80"/>
      </w:pPr>
      <w:r>
        <w:rPr>
          <w:rFonts w:ascii="Arial" w:cs="Arial" w:eastAsia="Arial" w:hAnsi="Arial"/>
          <w:color w:val="333333"/>
          <w:sz w:val="21"/>
          <w:szCs w:val="21"/>
        </w:rPr>
        <w:t xml:space="preserve">Reporting to the Board on compliance matters at least quarterly.</w:t>
      </w:r>
    </w:p>
    <w:p>
      <w:pPr>
        <w:spacing w:before="260" w:after="140"/>
      </w:pPr>
      <w:r>
        <w:rPr>
          <w:rFonts w:ascii="Arial" w:cs="Arial" w:eastAsia="Arial" w:hAnsi="Arial"/>
          <w:b/>
          <w:bCs/>
          <w:color w:val="1B2A4A"/>
          <w:sz w:val="23"/>
          <w:szCs w:val="23"/>
        </w:rPr>
        <w:t xml:space="preserve">2.2 Board Oversight</w:t>
      </w:r>
    </w:p>
    <w:p>
      <w:pPr>
        <w:spacing w:after="130"/>
      </w:pPr>
      <w:r>
        <w:rPr>
          <w:rFonts w:ascii="Arial" w:cs="Arial" w:eastAsia="Arial" w:hAnsi="Arial"/>
          <w:color w:val="333333"/>
          <w:sz w:val="21"/>
          <w:szCs w:val="21"/>
        </w:rPr>
        <w:t xml:space="preserve">The Board shall review this Manual annually and approve any material amendments. The Board retains ultimate responsibility for the Company’s compliance framework.</w:t>
      </w:r>
    </w:p>
    <w:p>
      <w:pPr>
        <w:spacing w:before="260" w:after="140"/>
      </w:pPr>
      <w:r>
        <w:rPr>
          <w:rFonts w:ascii="Arial" w:cs="Arial" w:eastAsia="Arial" w:hAnsi="Arial"/>
          <w:b/>
          <w:bCs/>
          <w:color w:val="1B2A4A"/>
          <w:sz w:val="23"/>
          <w:szCs w:val="23"/>
        </w:rPr>
        <w:t xml:space="preserve">2.3 Record of Compliance Officer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27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227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Appointment Date</w:t>
            </w:r>
          </w:p>
        </w:tc>
        <w:tc>
          <w:tcPr>
            <w:tcW w:type="dxa" w:w="227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Contact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[Full Name]</w:t>
            </w:r>
          </w:p>
        </w:tc>
        <w:tc>
          <w:tcPr>
            <w:tcW w:type="dxa" w:w="2275"/>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Compliance Officer</w:t>
            </w:r>
          </w:p>
        </w:tc>
        <w:tc>
          <w:tcPr>
            <w:tcW w:type="dxa" w:w="2275"/>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[Date]</w:t>
            </w:r>
          </w:p>
        </w:tc>
        <w:tc>
          <w:tcPr>
            <w:tcW w:type="dxa" w:w="227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[Email / Phone]</w:t>
            </w:r>
          </w:p>
        </w:tc>
      </w:tr>
    </w:tbl>
    <w:p>
      <w:pPr>
        <w:spacing w:after="200"/>
      </w:pPr>
    </w:p>
    <w:p>
      <w:pPr>
        <w:pBdr>
          <w:bottom w:val="single" w:color="1B2A4A" w:sz="2" w:space="6"/>
        </w:pBdr>
        <w:spacing w:before="400" w:after="200"/>
      </w:pPr>
      <w:r>
        <w:rPr>
          <w:rFonts w:ascii="Arial" w:cs="Arial" w:eastAsia="Arial" w:hAnsi="Arial"/>
          <w:b/>
          <w:bCs/>
          <w:color w:val="1B2A4A"/>
          <w:sz w:val="28"/>
          <w:szCs w:val="28"/>
        </w:rPr>
        <w:t xml:space="preserve">3. CLIENT ONBOARDING AND KYC</w:t>
      </w:r>
    </w:p>
    <w:p>
      <w:pPr>
        <w:spacing w:before="260" w:after="140"/>
      </w:pPr>
      <w:r>
        <w:rPr>
          <w:rFonts w:ascii="Arial" w:cs="Arial" w:eastAsia="Arial" w:hAnsi="Arial"/>
          <w:b/>
          <w:bCs/>
          <w:color w:val="1B2A4A"/>
          <w:sz w:val="23"/>
          <w:szCs w:val="23"/>
        </w:rPr>
        <w:t xml:space="preserve">3.1 Onboarding Stages</w:t>
      </w:r>
    </w:p>
    <w:p>
      <w:pPr>
        <w:spacing w:after="130"/>
      </w:pPr>
      <w:r>
        <w:rPr>
          <w:rFonts w:ascii="Arial" w:cs="Arial" w:eastAsia="Arial" w:hAnsi="Arial"/>
          <w:color w:val="333333"/>
          <w:sz w:val="21"/>
          <w:szCs w:val="21"/>
        </w:rPr>
        <w:t xml:space="preserve">All clients must complete the following onboarding stages before any Transaction may be executed: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513"/>
        <w:gridCol w:w="2313"/>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51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Requirements</w:t>
            </w:r>
          </w:p>
        </w:tc>
        <w:tc>
          <w:tcPr>
            <w:tcW w:type="dxa" w:w="231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Approver</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1</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NDA</w:t>
            </w:r>
          </w:p>
        </w:tc>
        <w:tc>
          <w:tcPr>
            <w:tcW w:type="dxa" w:w="351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Execute Non-Disclosure Agreement; initial contact verification</w:t>
            </w:r>
          </w:p>
        </w:tc>
        <w:tc>
          <w:tcPr>
            <w:tcW w:type="dxa" w:w="231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Business Development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KYC</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Full identity verification, corporate documentation, beneficial ownership, source of funds</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Compliance Officer</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3</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Risk Assessment</w:t>
            </w:r>
          </w:p>
        </w:tc>
        <w:tc>
          <w:tcPr>
            <w:tcW w:type="dxa" w:w="351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Client risk scoring (see §3.3); PEP and sanctions screening</w:t>
            </w:r>
          </w:p>
        </w:tc>
        <w:tc>
          <w:tcPr>
            <w:tcW w:type="dxa" w:w="231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Compliance Officer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Approval</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 sign-off; client status activated on Platform</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 + Management</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5</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Agreement</w:t>
            </w:r>
          </w:p>
        </w:tc>
        <w:tc>
          <w:tcPr>
            <w:tcW w:type="dxa" w:w="351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Execute MSA + Custody Agreement; deposit initial funds</w:t>
            </w:r>
          </w:p>
        </w:tc>
        <w:tc>
          <w:tcPr>
            <w:tcW w:type="dxa" w:w="231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Management</w:t>
            </w:r>
          </w:p>
        </w:tc>
      </w:tr>
    </w:tbl>
    <w:p>
      <w:pPr>
        <w:spacing w:after="200"/>
      </w:pPr>
    </w:p>
    <w:p>
      <w:pPr>
        <w:spacing w:before="260" w:after="140"/>
      </w:pPr>
      <w:r>
        <w:rPr>
          <w:rFonts w:ascii="Arial" w:cs="Arial" w:eastAsia="Arial" w:hAnsi="Arial"/>
          <w:b/>
          <w:bCs/>
          <w:color w:val="1B2A4A"/>
          <w:sz w:val="23"/>
          <w:szCs w:val="23"/>
        </w:rPr>
        <w:t xml:space="preserve">3.2 Required Documentation</w:t>
      </w:r>
    </w:p>
    <w:p>
      <w:pPr>
        <w:spacing w:after="130"/>
      </w:pPr>
      <w:r>
        <w:rPr>
          <w:rFonts w:ascii="Arial" w:cs="Arial" w:eastAsia="Arial" w:hAnsi="Arial"/>
          <w:color w:val="333333"/>
          <w:sz w:val="21"/>
          <w:szCs w:val="21"/>
        </w:rPr>
        <w:t xml:space="preserve">Corporate clients:</w:t>
      </w:r>
    </w:p>
    <w:p>
      <w:pPr>
        <w:pStyle w:val="ListParagraph"/>
        <w:numPr>
          <w:ilvl w:val="0"/>
          <w:numId w:val="2"/>
        </w:numPr>
        <w:spacing w:after="80"/>
      </w:pPr>
      <w:r>
        <w:rPr>
          <w:rFonts w:ascii="Arial" w:cs="Arial" w:eastAsia="Arial" w:hAnsi="Arial"/>
          <w:color w:val="333333"/>
          <w:sz w:val="21"/>
          <w:szCs w:val="21"/>
        </w:rPr>
        <w:t xml:space="preserve">Certificate of Incorporation or equivalent</w:t>
      </w:r>
    </w:p>
    <w:p>
      <w:pPr>
        <w:pStyle w:val="ListParagraph"/>
        <w:numPr>
          <w:ilvl w:val="0"/>
          <w:numId w:val="2"/>
        </w:numPr>
        <w:spacing w:after="80"/>
      </w:pPr>
      <w:r>
        <w:rPr>
          <w:rFonts w:ascii="Arial" w:cs="Arial" w:eastAsia="Arial" w:hAnsi="Arial"/>
          <w:color w:val="333333"/>
          <w:sz w:val="21"/>
          <w:szCs w:val="21"/>
        </w:rPr>
        <w:t xml:space="preserve">Memorandum and Articles of Association (or equivalent constitutional documents)</w:t>
      </w:r>
    </w:p>
    <w:p>
      <w:pPr>
        <w:pStyle w:val="ListParagraph"/>
        <w:numPr>
          <w:ilvl w:val="0"/>
          <w:numId w:val="2"/>
        </w:numPr>
        <w:spacing w:after="80"/>
      </w:pPr>
      <w:r>
        <w:rPr>
          <w:rFonts w:ascii="Arial" w:cs="Arial" w:eastAsia="Arial" w:hAnsi="Arial"/>
          <w:color w:val="333333"/>
          <w:sz w:val="21"/>
          <w:szCs w:val="21"/>
        </w:rPr>
        <w:t xml:space="preserve">Register of Directors and Shareholders</w:t>
      </w:r>
    </w:p>
    <w:p>
      <w:pPr>
        <w:pStyle w:val="ListParagraph"/>
        <w:numPr>
          <w:ilvl w:val="0"/>
          <w:numId w:val="2"/>
        </w:numPr>
        <w:spacing w:after="80"/>
      </w:pPr>
      <w:r>
        <w:rPr>
          <w:rFonts w:ascii="Arial" w:cs="Arial" w:eastAsia="Arial" w:hAnsi="Arial"/>
          <w:color w:val="333333"/>
          <w:sz w:val="21"/>
          <w:szCs w:val="21"/>
        </w:rPr>
        <w:t xml:space="preserve">Ultimate Beneficial Ownership (UBO) declaration — all persons owning ≥25%</w:t>
      </w:r>
    </w:p>
    <w:p>
      <w:pPr>
        <w:pStyle w:val="ListParagraph"/>
        <w:numPr>
          <w:ilvl w:val="0"/>
          <w:numId w:val="2"/>
        </w:numPr>
        <w:spacing w:after="80"/>
      </w:pPr>
      <w:r>
        <w:rPr>
          <w:rFonts w:ascii="Arial" w:cs="Arial" w:eastAsia="Arial" w:hAnsi="Arial"/>
          <w:color w:val="333333"/>
          <w:sz w:val="21"/>
          <w:szCs w:val="21"/>
        </w:rPr>
        <w:t xml:space="preserve">Government-issued photo ID of all directors and authorized signatories</w:t>
      </w:r>
    </w:p>
    <w:p>
      <w:pPr>
        <w:pStyle w:val="ListParagraph"/>
        <w:numPr>
          <w:ilvl w:val="0"/>
          <w:numId w:val="2"/>
        </w:numPr>
        <w:spacing w:after="80"/>
      </w:pPr>
      <w:r>
        <w:rPr>
          <w:rFonts w:ascii="Arial" w:cs="Arial" w:eastAsia="Arial" w:hAnsi="Arial"/>
          <w:color w:val="333333"/>
          <w:sz w:val="21"/>
          <w:szCs w:val="21"/>
        </w:rPr>
        <w:t xml:space="preserve">Proof of registered address (utility bill, bank statement, or government correspondence &lt;3 months old)</w:t>
      </w:r>
    </w:p>
    <w:p>
      <w:pPr>
        <w:pStyle w:val="ListParagraph"/>
        <w:numPr>
          <w:ilvl w:val="0"/>
          <w:numId w:val="2"/>
        </w:numPr>
        <w:spacing w:after="80"/>
      </w:pPr>
      <w:r>
        <w:rPr>
          <w:rFonts w:ascii="Arial" w:cs="Arial" w:eastAsia="Arial" w:hAnsi="Arial"/>
          <w:color w:val="333333"/>
          <w:sz w:val="21"/>
          <w:szCs w:val="21"/>
        </w:rPr>
        <w:t xml:space="preserve">Certificate of Good Standing (if available in jurisdiction)</w:t>
      </w:r>
    </w:p>
    <w:p>
      <w:pPr>
        <w:pStyle w:val="ListParagraph"/>
        <w:numPr>
          <w:ilvl w:val="0"/>
          <w:numId w:val="2"/>
        </w:numPr>
        <w:spacing w:after="80"/>
      </w:pPr>
      <w:r>
        <w:rPr>
          <w:rFonts w:ascii="Arial" w:cs="Arial" w:eastAsia="Arial" w:hAnsi="Arial"/>
          <w:color w:val="333333"/>
          <w:sz w:val="21"/>
          <w:szCs w:val="21"/>
        </w:rPr>
        <w:t xml:space="preserve">Audited financial statements (latest available)</w:t>
      </w:r>
    </w:p>
    <w:p>
      <w:pPr>
        <w:pStyle w:val="ListParagraph"/>
        <w:numPr>
          <w:ilvl w:val="0"/>
          <w:numId w:val="2"/>
        </w:numPr>
        <w:spacing w:after="80"/>
      </w:pPr>
      <w:r>
        <w:rPr>
          <w:rFonts w:ascii="Arial" w:cs="Arial" w:eastAsia="Arial" w:hAnsi="Arial"/>
          <w:color w:val="333333"/>
          <w:sz w:val="21"/>
          <w:szCs w:val="21"/>
        </w:rPr>
        <w:t xml:space="preserve">Source of Funds declaration</w:t>
      </w:r>
    </w:p>
    <w:p>
      <w:pPr>
        <w:pStyle w:val="ListParagraph"/>
        <w:numPr>
          <w:ilvl w:val="0"/>
          <w:numId w:val="2"/>
        </w:numPr>
        <w:spacing w:after="80"/>
      </w:pPr>
      <w:r>
        <w:rPr>
          <w:rFonts w:ascii="Arial" w:cs="Arial" w:eastAsia="Arial" w:hAnsi="Arial"/>
          <w:color w:val="333333"/>
          <w:sz w:val="21"/>
          <w:szCs w:val="21"/>
        </w:rPr>
        <w:t xml:space="preserve">Tax identification number(s)</w:t>
      </w:r>
    </w:p>
    <w:p>
      <w:pPr>
        <w:spacing w:after="130"/>
      </w:pPr>
      <w:r>
        <w:rPr>
          <w:rFonts w:ascii="Arial" w:cs="Arial" w:eastAsia="Arial" w:hAnsi="Arial"/>
          <w:color w:val="333333"/>
          <w:sz w:val="21"/>
          <w:szCs w:val="21"/>
        </w:rPr>
        <w:t xml:space="preserve">Institutional investors (funds, family offices):</w:t>
      </w:r>
    </w:p>
    <w:p>
      <w:pPr>
        <w:pStyle w:val="ListParagraph"/>
        <w:numPr>
          <w:ilvl w:val="0"/>
          <w:numId w:val="2"/>
        </w:numPr>
        <w:spacing w:after="80"/>
      </w:pPr>
      <w:r>
        <w:rPr>
          <w:rFonts w:ascii="Arial" w:cs="Arial" w:eastAsia="Arial" w:hAnsi="Arial"/>
          <w:color w:val="333333"/>
          <w:sz w:val="21"/>
          <w:szCs w:val="21"/>
        </w:rPr>
        <w:t xml:space="preserve">All corporate documents above, plus:</w:t>
      </w:r>
    </w:p>
    <w:p>
      <w:pPr>
        <w:pStyle w:val="ListParagraph"/>
        <w:numPr>
          <w:ilvl w:val="0"/>
          <w:numId w:val="2"/>
        </w:numPr>
        <w:spacing w:after="80"/>
      </w:pPr>
      <w:r>
        <w:rPr>
          <w:rFonts w:ascii="Arial" w:cs="Arial" w:eastAsia="Arial" w:hAnsi="Arial"/>
          <w:color w:val="333333"/>
          <w:sz w:val="21"/>
          <w:szCs w:val="21"/>
        </w:rPr>
        <w:t xml:space="preserve">Fund offering documents / investment mandate</w:t>
      </w:r>
    </w:p>
    <w:p>
      <w:pPr>
        <w:pStyle w:val="ListParagraph"/>
        <w:numPr>
          <w:ilvl w:val="0"/>
          <w:numId w:val="2"/>
        </w:numPr>
        <w:spacing w:after="80"/>
      </w:pPr>
      <w:r>
        <w:rPr>
          <w:rFonts w:ascii="Arial" w:cs="Arial" w:eastAsia="Arial" w:hAnsi="Arial"/>
          <w:color w:val="333333"/>
          <w:sz w:val="21"/>
          <w:szCs w:val="21"/>
        </w:rPr>
        <w:t xml:space="preserve">Identity of fund manager and key decision-makers</w:t>
      </w:r>
    </w:p>
    <w:p>
      <w:pPr>
        <w:pStyle w:val="ListParagraph"/>
        <w:numPr>
          <w:ilvl w:val="0"/>
          <w:numId w:val="2"/>
        </w:numPr>
        <w:spacing w:after="80"/>
      </w:pPr>
      <w:r>
        <w:rPr>
          <w:rFonts w:ascii="Arial" w:cs="Arial" w:eastAsia="Arial" w:hAnsi="Arial"/>
          <w:color w:val="333333"/>
          <w:sz w:val="21"/>
          <w:szCs w:val="21"/>
        </w:rPr>
        <w:t xml:space="preserve">Regulatory registration (if applicable)</w:t>
      </w:r>
    </w:p>
    <w:p>
      <w:pPr>
        <w:spacing w:before="260" w:after="140"/>
      </w:pPr>
      <w:r>
        <w:rPr>
          <w:rFonts w:ascii="Arial" w:cs="Arial" w:eastAsia="Arial" w:hAnsi="Arial"/>
          <w:b/>
          <w:bCs/>
          <w:color w:val="1B2A4A"/>
          <w:sz w:val="23"/>
          <w:szCs w:val="23"/>
        </w:rPr>
        <w:t xml:space="preserve">3.3 Risk Scoring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8"/>
        <w:gridCol w:w="2408"/>
        <w:gridCol w:w="241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Factor</w:t>
            </w:r>
          </w:p>
        </w:tc>
        <w:tc>
          <w:tcPr>
            <w:tcW w:type="dxa" w:w="2408"/>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Low Risk (1)</w:t>
            </w:r>
          </w:p>
        </w:tc>
        <w:tc>
          <w:tcPr>
            <w:tcW w:type="dxa" w:w="2408"/>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Medium Risk (2)</w:t>
            </w:r>
          </w:p>
        </w:tc>
        <w:tc>
          <w:tcPr>
            <w:tcW w:type="dxa" w:w="24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High Risk (3)</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Jurisdiction</w:t>
            </w:r>
          </w:p>
        </w:tc>
        <w:tc>
          <w:tcPr>
            <w:tcW w:type="dxa" w:w="24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EU, HK, SG, JP, AU, NZ, CA</w:t>
            </w:r>
          </w:p>
        </w:tc>
        <w:tc>
          <w:tcPr>
            <w:tcW w:type="dxa" w:w="24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Other FATF-compliant jurisdictions</w:t>
            </w:r>
          </w:p>
        </w:tc>
        <w:tc>
          <w:tcPr>
            <w:tcW w:type="dxa" w:w="24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FATF grey/black list; sanctioned countries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Entity type</w:t>
            </w:r>
          </w:p>
        </w:tc>
        <w:tc>
          <w:tcPr>
            <w:tcW w:type="dxa" w:w="24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Listed company; regulated fund</w:t>
            </w:r>
          </w:p>
        </w:tc>
        <w:tc>
          <w:tcPr>
            <w:tcW w:type="dxa" w:w="24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Private company; family office</w:t>
            </w:r>
          </w:p>
        </w:tc>
        <w:tc>
          <w:tcPr>
            <w:tcW w:type="dxa" w:w="24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Trust; foundation; complex structure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UBO clarity</w:t>
            </w:r>
          </w:p>
        </w:tc>
        <w:tc>
          <w:tcPr>
            <w:tcW w:type="dxa" w:w="24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All UBOs identified and verified</w:t>
            </w:r>
          </w:p>
        </w:tc>
        <w:tc>
          <w:tcPr>
            <w:tcW w:type="dxa" w:w="24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UBOs identified; some offshore</w:t>
            </w:r>
          </w:p>
        </w:tc>
        <w:tc>
          <w:tcPr>
            <w:tcW w:type="dxa" w:w="24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UBOs unclear; nominee structures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PEP status</w:t>
            </w:r>
          </w:p>
        </w:tc>
        <w:tc>
          <w:tcPr>
            <w:tcW w:type="dxa" w:w="24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 PEP involvement</w:t>
            </w:r>
          </w:p>
        </w:tc>
        <w:tc>
          <w:tcPr>
            <w:tcW w:type="dxa" w:w="24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PEP family member / associate</w:t>
            </w:r>
          </w:p>
        </w:tc>
        <w:tc>
          <w:tcPr>
            <w:tcW w:type="dxa" w:w="24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PEP is director/UBO</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Source of funds</w:t>
            </w:r>
          </w:p>
        </w:tc>
        <w:tc>
          <w:tcPr>
            <w:tcW w:type="dxa" w:w="24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Clear, documented, audited</w:t>
            </w:r>
          </w:p>
        </w:tc>
        <w:tc>
          <w:tcPr>
            <w:tcW w:type="dxa" w:w="24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Declared, partially documented</w:t>
            </w:r>
          </w:p>
        </w:tc>
        <w:tc>
          <w:tcPr>
            <w:tcW w:type="dxa" w:w="24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Unclear or inconsistent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Transaction volume</w:t>
            </w:r>
          </w:p>
        </w:tc>
        <w:tc>
          <w:tcPr>
            <w:tcW w:type="dxa" w:w="24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&lt;USD 1M p.a.</w:t>
            </w:r>
          </w:p>
        </w:tc>
        <w:tc>
          <w:tcPr>
            <w:tcW w:type="dxa" w:w="24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USD 1M-10M p.a.</w:t>
            </w:r>
          </w:p>
        </w:tc>
        <w:tc>
          <w:tcPr>
            <w:tcW w:type="dxa" w:w="24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&gt;USD 10M p.a.</w:t>
            </w:r>
          </w:p>
        </w:tc>
      </w:tr>
    </w:tbl>
    <w:p>
      <w:pPr>
        <w:spacing w:after="100"/>
      </w:pPr>
    </w:p>
    <w:p>
      <w:pPr>
        <w:spacing w:after="130"/>
      </w:pPr>
      <w:r>
        <w:rPr>
          <w:rFonts w:ascii="Arial" w:cs="Arial" w:eastAsia="Arial" w:hAnsi="Arial"/>
          <w:color w:val="333333"/>
          <w:sz w:val="21"/>
          <w:szCs w:val="21"/>
        </w:rPr>
        <w:t xml:space="preserve">Scoring: Total 6-8 = Low Risk; 9-13 = Medium Risk; 14-18 = High Risk.</w:t>
      </w:r>
    </w:p>
    <w:p>
      <w:pPr>
        <w:spacing w:after="130"/>
      </w:pPr>
      <w:r>
        <w:rPr>
          <w:rFonts w:ascii="Arial" w:cs="Arial" w:eastAsia="Arial" w:hAnsi="Arial"/>
          <w:color w:val="333333"/>
          <w:sz w:val="21"/>
          <w:szCs w:val="21"/>
        </w:rPr>
        <w:t xml:space="preserve">High Risk clients require: (i) enhanced due diligence; (ii) Board approval; (iii) annual KYC refresh.</w:t>
      </w:r>
    </w:p>
    <w:p>
      <w:pPr>
        <w:spacing w:after="130"/>
      </w:pPr>
      <w:r>
        <w:rPr>
          <w:rFonts w:ascii="Arial" w:cs="Arial" w:eastAsia="Arial" w:hAnsi="Arial"/>
          <w:color w:val="333333"/>
          <w:sz w:val="21"/>
          <w:szCs w:val="21"/>
        </w:rPr>
        <w:t xml:space="preserve">Medium Risk: standard due diligence; CO approval; KYC refresh every two years.</w:t>
      </w:r>
    </w:p>
    <w:p>
      <w:pPr>
        <w:spacing w:after="130"/>
      </w:pPr>
      <w:r>
        <w:rPr>
          <w:rFonts w:ascii="Arial" w:cs="Arial" w:eastAsia="Arial" w:hAnsi="Arial"/>
          <w:color w:val="333333"/>
          <w:sz w:val="21"/>
          <w:szCs w:val="21"/>
        </w:rPr>
        <w:t xml:space="preserve">Low Risk: standard due diligence; CO approval; KYC refresh every three years.</w:t>
      </w:r>
    </w:p>
    <w:p>
      <w:pPr>
        <w:pBdr>
          <w:bottom w:val="single" w:color="1B2A4A" w:sz="2" w:space="6"/>
        </w:pBdr>
        <w:spacing w:before="400" w:after="200"/>
      </w:pPr>
      <w:r>
        <w:rPr>
          <w:rFonts w:ascii="Arial" w:cs="Arial" w:eastAsia="Arial" w:hAnsi="Arial"/>
          <w:b/>
          <w:bCs/>
          <w:color w:val="1B2A4A"/>
          <w:sz w:val="28"/>
          <w:szCs w:val="28"/>
        </w:rPr>
        <w:t xml:space="preserve">4. TRANSACTION MONITORING</w:t>
      </w:r>
    </w:p>
    <w:p>
      <w:pPr>
        <w:spacing w:after="130"/>
      </w:pPr>
      <w:r>
        <w:rPr>
          <w:rFonts w:ascii="Arial" w:cs="Arial" w:eastAsia="Arial" w:hAnsi="Arial"/>
          <w:color w:val="333333"/>
          <w:sz w:val="21"/>
          <w:szCs w:val="21"/>
        </w:rPr>
        <w:t xml:space="preserve">All Transactions are monitored for suspicious activity indicators. The following triggers require escalation to the Compliance Officer: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Red Flag</w:t>
            </w:r>
          </w:p>
        </w:tc>
        <w:tc>
          <w:tcPr>
            <w:tcW w:type="dxa" w:w="451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Action Required</w:t>
            </w:r>
          </w:p>
        </w:tc>
      </w:tr>
      <w:tr>
        <w:tc>
          <w:tcPr>
            <w:tcW w:type="dxa" w:w="451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Transaction volume significantly exceeds client profile</w:t>
            </w:r>
          </w:p>
        </w:tc>
        <w:tc>
          <w:tcPr>
            <w:tcW w:type="dxa" w:w="451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Escalate to CO; request explanation; consider STR</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Requests for unusual settlement arrangements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Escalate to CO; decline if not satisfactorily explained</w:t>
            </w:r>
          </w:p>
        </w:tc>
      </w:tr>
      <w:tr>
        <w:tc>
          <w:tcPr>
            <w:tcW w:type="dxa" w:w="451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Client unwilling to provide source of funds documentation</w:t>
            </w:r>
          </w:p>
        </w:tc>
        <w:tc>
          <w:tcPr>
            <w:tcW w:type="dxa" w:w="451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Suspend services; file STR if appropriate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Payments from/to unrelated third parties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Decline; escalate to CO; consider STR</w:t>
            </w:r>
          </w:p>
        </w:tc>
      </w:tr>
      <w:tr>
        <w:tc>
          <w:tcPr>
            <w:tcW w:type="dxa" w:w="451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Client linked to adverse media (sanctions, fraud, corruption)</w:t>
            </w:r>
          </w:p>
        </w:tc>
        <w:tc>
          <w:tcPr>
            <w:tcW w:type="dxa" w:w="451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Immediate escalation; suspend pending review</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Rapid buy-sell transactions with no apparent economic purpose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Escalate to CO; request explanation; consider STR</w:t>
            </w:r>
          </w:p>
        </w:tc>
      </w:tr>
      <w:tr>
        <w:tc>
          <w:tcPr>
            <w:tcW w:type="dxa" w:w="451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Requests to transfer credits to unverified third parties</w:t>
            </w:r>
          </w:p>
        </w:tc>
        <w:tc>
          <w:tcPr>
            <w:tcW w:type="dxa" w:w="451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Decline; require full KYC on recipient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Client attempts to structure transactions below reporting thresholds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File STR; escalate to Board</w:t>
            </w:r>
          </w:p>
        </w:tc>
      </w:tr>
    </w:tbl>
    <w:p>
      <w:pPr>
        <w:spacing w:after="200"/>
      </w:pPr>
    </w:p>
    <w:p>
      <w:pPr>
        <w:pBdr>
          <w:bottom w:val="single" w:color="1B2A4A" w:sz="2" w:space="6"/>
        </w:pBdr>
        <w:spacing w:before="400" w:after="200"/>
      </w:pPr>
      <w:r>
        <w:rPr>
          <w:rFonts w:ascii="Arial" w:cs="Arial" w:eastAsia="Arial" w:hAnsi="Arial"/>
          <w:b/>
          <w:bCs/>
          <w:color w:val="1B2A4A"/>
          <w:sz w:val="28"/>
          <w:szCs w:val="28"/>
        </w:rPr>
        <w:t xml:space="preserve">5. SUSPICIOUS TRANSACTION REPORTING</w:t>
      </w:r>
    </w:p>
    <w:p>
      <w:pPr>
        <w:spacing w:after="130"/>
      </w:pPr>
      <w:r>
        <w:rPr>
          <w:rFonts w:ascii="Arial" w:cs="Arial" w:eastAsia="Arial" w:hAnsi="Arial"/>
          <w:color w:val="333333"/>
          <w:sz w:val="21"/>
          <w:szCs w:val="21"/>
        </w:rPr>
        <w:t xml:space="preserve">Under the Drug Trafficking (Recovery of Proceeds) Ordinance (DTROP, applicable Hong Kong legislation) and the Organized and Serious Crimes Ordinance (OSCO, applicable Hong Kong legislation), any person who knows or suspects that property represents the proceeds of an indictable offence must make a disclosure to JFIU.</w:t>
      </w:r>
    </w:p>
    <w:p>
      <w:pPr>
        <w:spacing w:after="130"/>
      </w:pPr>
      <w:r>
        <w:rPr>
          <w:rFonts w:ascii="Arial" w:cs="Arial" w:eastAsia="Arial" w:hAnsi="Arial"/>
          <w:color w:val="333333"/>
          <w:sz w:val="21"/>
          <w:szCs w:val="21"/>
        </w:rPr>
        <w:t xml:space="preserve">The Compliance Officer shall:</w:t>
      </w:r>
    </w:p>
    <w:p>
      <w:pPr>
        <w:pStyle w:val="ListParagraph"/>
        <w:numPr>
          <w:ilvl w:val="0"/>
          <w:numId w:val="3"/>
        </w:numPr>
        <w:spacing w:after="80"/>
      </w:pPr>
      <w:r>
        <w:rPr>
          <w:rFonts w:ascii="Arial" w:cs="Arial" w:eastAsia="Arial" w:hAnsi="Arial"/>
          <w:color w:val="333333"/>
          <w:sz w:val="21"/>
          <w:szCs w:val="21"/>
        </w:rPr>
        <w:t xml:space="preserve">Assess all escalated matters within two (2) Business Days;</w:t>
      </w:r>
    </w:p>
    <w:p>
      <w:pPr>
        <w:pStyle w:val="ListParagraph"/>
        <w:numPr>
          <w:ilvl w:val="0"/>
          <w:numId w:val="3"/>
        </w:numPr>
        <w:spacing w:after="80"/>
      </w:pPr>
      <w:r>
        <w:rPr>
          <w:rFonts w:ascii="Arial" w:cs="Arial" w:eastAsia="Arial" w:hAnsi="Arial"/>
          <w:color w:val="333333"/>
          <w:sz w:val="21"/>
          <w:szCs w:val="21"/>
        </w:rPr>
        <w:t xml:space="preserve">Determine whether a Suspicious Transaction Report (STR) should be filed;</w:t>
      </w:r>
    </w:p>
    <w:p>
      <w:pPr>
        <w:pStyle w:val="ListParagraph"/>
        <w:numPr>
          <w:ilvl w:val="0"/>
          <w:numId w:val="3"/>
        </w:numPr>
        <w:spacing w:after="80"/>
      </w:pPr>
      <w:r>
        <w:rPr>
          <w:rFonts w:ascii="Arial" w:cs="Arial" w:eastAsia="Arial" w:hAnsi="Arial"/>
          <w:color w:val="333333"/>
          <w:sz w:val="21"/>
          <w:szCs w:val="21"/>
        </w:rPr>
        <w:t xml:space="preserve">File the STR with JFIU electronically via the JFIU online portal;</w:t>
      </w:r>
    </w:p>
    <w:p>
      <w:pPr>
        <w:pStyle w:val="ListParagraph"/>
        <w:numPr>
          <w:ilvl w:val="0"/>
          <w:numId w:val="3"/>
        </w:numPr>
        <w:spacing w:after="80"/>
      </w:pPr>
      <w:r>
        <w:rPr>
          <w:rFonts w:ascii="Arial" w:cs="Arial" w:eastAsia="Arial" w:hAnsi="Arial"/>
          <w:color w:val="333333"/>
          <w:sz w:val="21"/>
          <w:szCs w:val="21"/>
        </w:rPr>
        <w:t xml:space="preserve">NOT inform the client or any third party that a STR has been filed (tipping off is a criminal offence);</w:t>
      </w:r>
    </w:p>
    <w:p>
      <w:pPr>
        <w:pStyle w:val="ListParagraph"/>
        <w:numPr>
          <w:ilvl w:val="0"/>
          <w:numId w:val="3"/>
        </w:numPr>
        <w:spacing w:after="80"/>
      </w:pPr>
      <w:r>
        <w:rPr>
          <w:rFonts w:ascii="Arial" w:cs="Arial" w:eastAsia="Arial" w:hAnsi="Arial"/>
          <w:color w:val="333333"/>
          <w:sz w:val="21"/>
          <w:szCs w:val="21"/>
        </w:rPr>
        <w:t xml:space="preserve">Maintain a confidential STR register, accessible only to the CO and the Board;</w:t>
      </w:r>
    </w:p>
    <w:p>
      <w:pPr>
        <w:pStyle w:val="ListParagraph"/>
        <w:numPr>
          <w:ilvl w:val="0"/>
          <w:numId w:val="3"/>
        </w:numPr>
        <w:spacing w:after="80"/>
      </w:pPr>
      <w:r>
        <w:rPr>
          <w:rFonts w:ascii="Arial" w:cs="Arial" w:eastAsia="Arial" w:hAnsi="Arial"/>
          <w:color w:val="333333"/>
          <w:sz w:val="21"/>
          <w:szCs w:val="21"/>
        </w:rPr>
        <w:t xml:space="preserve">Retain all supporting documentation for a minimum of seven (7) years.</w:t>
      </w:r>
    </w:p>
    <w:p>
      <w:pPr>
        <w:pBdr>
          <w:bottom w:val="single" w:color="1B2A4A" w:sz="2" w:space="6"/>
        </w:pBdr>
        <w:spacing w:before="400" w:after="200"/>
      </w:pPr>
      <w:r>
        <w:rPr>
          <w:rFonts w:ascii="Arial" w:cs="Arial" w:eastAsia="Arial" w:hAnsi="Arial"/>
          <w:b/>
          <w:bCs/>
          <w:color w:val="1B2A4A"/>
          <w:sz w:val="28"/>
          <w:szCs w:val="28"/>
        </w:rPr>
        <w:t xml:space="preserve">6. SANCTIONS AND PEP SCREENING</w:t>
      </w:r>
    </w:p>
    <w:p>
      <w:pPr>
        <w:spacing w:after="130"/>
      </w:pPr>
      <w:r>
        <w:rPr>
          <w:rFonts w:ascii="Arial" w:cs="Arial" w:eastAsia="Arial" w:hAnsi="Arial"/>
          <w:color w:val="333333"/>
          <w:sz w:val="21"/>
          <w:szCs w:val="21"/>
        </w:rPr>
        <w:t xml:space="preserve">All clients, directors, UBOs, and counterparties must be screened against:</w:t>
      </w:r>
    </w:p>
    <w:p>
      <w:pPr>
        <w:pStyle w:val="ListParagraph"/>
        <w:numPr>
          <w:ilvl w:val="0"/>
          <w:numId w:val="2"/>
        </w:numPr>
        <w:spacing w:after="80"/>
      </w:pPr>
      <w:r>
        <w:rPr>
          <w:rFonts w:ascii="Arial" w:cs="Arial" w:eastAsia="Arial" w:hAnsi="Arial"/>
          <w:color w:val="333333"/>
          <w:sz w:val="21"/>
          <w:szCs w:val="21"/>
        </w:rPr>
        <w:t xml:space="preserve">UN Security Council Consolidated List</w:t>
      </w:r>
    </w:p>
    <w:p>
      <w:pPr>
        <w:pStyle w:val="ListParagraph"/>
        <w:numPr>
          <w:ilvl w:val="0"/>
          <w:numId w:val="2"/>
        </w:numPr>
        <w:spacing w:after="80"/>
      </w:pPr>
      <w:r>
        <w:rPr>
          <w:rFonts w:ascii="Arial" w:cs="Arial" w:eastAsia="Arial" w:hAnsi="Arial"/>
          <w:color w:val="333333"/>
          <w:sz w:val="21"/>
          <w:szCs w:val="21"/>
        </w:rPr>
        <w:t xml:space="preserve">US applicable international sanctions regimes Specially Designated Nationals (SDN) List</w:t>
      </w:r>
    </w:p>
    <w:p>
      <w:pPr>
        <w:pStyle w:val="ListParagraph"/>
        <w:numPr>
          <w:ilvl w:val="0"/>
          <w:numId w:val="2"/>
        </w:numPr>
        <w:spacing w:after="80"/>
      </w:pPr>
      <w:r>
        <w:rPr>
          <w:rFonts w:ascii="Arial" w:cs="Arial" w:eastAsia="Arial" w:hAnsi="Arial"/>
          <w:color w:val="333333"/>
          <w:sz w:val="21"/>
          <w:szCs w:val="21"/>
        </w:rPr>
        <w:t xml:space="preserve">EU Consolidated Financial Sanctions List</w:t>
      </w:r>
    </w:p>
    <w:p>
      <w:pPr>
        <w:pStyle w:val="ListParagraph"/>
        <w:numPr>
          <w:ilvl w:val="0"/>
          <w:numId w:val="2"/>
        </w:numPr>
        <w:spacing w:after="80"/>
      </w:pPr>
      <w:r>
        <w:rPr>
          <w:rFonts w:ascii="Arial" w:cs="Arial" w:eastAsia="Arial" w:hAnsi="Arial"/>
          <w:color w:val="333333"/>
          <w:sz w:val="21"/>
          <w:szCs w:val="21"/>
        </w:rPr>
        <w:t xml:space="preserve">UK HM Treasury Financial Sanctions List</w:t>
      </w:r>
    </w:p>
    <w:p>
      <w:pPr>
        <w:pStyle w:val="ListParagraph"/>
        <w:numPr>
          <w:ilvl w:val="0"/>
          <w:numId w:val="2"/>
        </w:numPr>
        <w:spacing w:after="80"/>
      </w:pPr>
      <w:r>
        <w:rPr>
          <w:rFonts w:ascii="Arial" w:cs="Arial" w:eastAsia="Arial" w:hAnsi="Arial"/>
          <w:color w:val="333333"/>
          <w:sz w:val="21"/>
          <w:szCs w:val="21"/>
        </w:rPr>
        <w:t xml:space="preserve">Hong Kong Gazette — United Nations Sanctions Ordinance designations</w:t>
      </w:r>
    </w:p>
    <w:p>
      <w:pPr>
        <w:pStyle w:val="ListParagraph"/>
        <w:numPr>
          <w:ilvl w:val="0"/>
          <w:numId w:val="2"/>
        </w:numPr>
        <w:spacing w:after="80"/>
      </w:pPr>
      <w:r>
        <w:rPr>
          <w:rFonts w:ascii="Arial" w:cs="Arial" w:eastAsia="Arial" w:hAnsi="Arial"/>
          <w:color w:val="333333"/>
          <w:sz w:val="21"/>
          <w:szCs w:val="21"/>
        </w:rPr>
        <w:t xml:space="preserve">PRC sanctions lists (as applicable)</w:t>
      </w:r>
    </w:p>
    <w:p>
      <w:pPr>
        <w:pStyle w:val="ListParagraph"/>
        <w:numPr>
          <w:ilvl w:val="0"/>
          <w:numId w:val="2"/>
        </w:numPr>
        <w:spacing w:after="80"/>
      </w:pPr>
      <w:r>
        <w:rPr>
          <w:rFonts w:ascii="Arial" w:cs="Arial" w:eastAsia="Arial" w:hAnsi="Arial"/>
          <w:color w:val="333333"/>
          <w:sz w:val="21"/>
          <w:szCs w:val="21"/>
        </w:rPr>
        <w:t xml:space="preserve">Politically Exposed Persons (PEP) databases</w:t>
      </w:r>
    </w:p>
    <w:p>
      <w:pPr>
        <w:spacing w:after="130"/>
      </w:pPr>
      <w:r>
        <w:rPr>
          <w:rFonts w:ascii="Arial" w:cs="Arial" w:eastAsia="Arial" w:hAnsi="Arial"/>
          <w:color w:val="333333"/>
          <w:sz w:val="21"/>
          <w:szCs w:val="21"/>
        </w:rPr>
        <w:t xml:space="preserve">Screening is performed at: (i) onboarding; (ii) each KYC refresh; and (iii) upon any change in client ownership or management. Matches require immediate escalation to the CO.</w:t>
      </w:r>
    </w:p>
    <w:p>
      <w:pPr>
        <w:pBdr>
          <w:bottom w:val="single" w:color="1B2A4A" w:sz="2" w:space="6"/>
        </w:pBdr>
        <w:spacing w:before="400" w:after="200"/>
      </w:pPr>
      <w:r>
        <w:rPr>
          <w:rFonts w:ascii="Arial" w:cs="Arial" w:eastAsia="Arial" w:hAnsi="Arial"/>
          <w:b/>
          <w:bCs/>
          <w:color w:val="1B2A4A"/>
          <w:sz w:val="28"/>
          <w:szCs w:val="28"/>
        </w:rPr>
        <w:t xml:space="preserve">7. RECORD KEEPING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Record Type</w:t>
            </w:r>
          </w:p>
        </w:tc>
        <w:tc>
          <w:tcPr>
            <w:tcW w:type="dxa" w:w="276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Retention Period</w:t>
            </w:r>
          </w:p>
        </w:tc>
        <w:tc>
          <w:tcPr>
            <w:tcW w:type="dxa" w:w="276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Storage</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Client onboarding files (KYC docs, ID copies)</w:t>
            </w:r>
          </w:p>
        </w:tc>
        <w:tc>
          <w:tcPr>
            <w:tcW w:type="dxa" w:w="276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7 years post-termination</w:t>
            </w:r>
          </w:p>
        </w:tc>
        <w:tc>
          <w:tcPr>
            <w:tcW w:type="dxa" w:w="276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Encrypted digital + physical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Transaction records (Confirmations, instructions)</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7 years post-transaction</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Platform database + backup</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STR filings and supporting documents</w:t>
            </w:r>
          </w:p>
        </w:tc>
        <w:tc>
          <w:tcPr>
            <w:tcW w:type="dxa" w:w="276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7 years post-filing</w:t>
            </w:r>
          </w:p>
        </w:tc>
        <w:tc>
          <w:tcPr>
            <w:tcW w:type="dxa" w:w="276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Restricted access (CO only)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Compliance training records</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Duration of employment + 3 years</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HR records</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Board minutes (compliance matters)</w:t>
            </w:r>
          </w:p>
        </w:tc>
        <w:tc>
          <w:tcPr>
            <w:tcW w:type="dxa" w:w="276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Permanent</w:t>
            </w:r>
          </w:p>
        </w:tc>
        <w:tc>
          <w:tcPr>
            <w:tcW w:type="dxa" w:w="276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Corporate secretary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Client communications</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7 years</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Platform + email archive</w:t>
            </w:r>
          </w:p>
        </w:tc>
      </w:tr>
    </w:tbl>
    <w:p>
      <w:pPr>
        <w:spacing w:after="200"/>
      </w:pPr>
    </w:p>
    <w:p>
      <w:pPr>
        <w:pBdr>
          <w:bottom w:val="single" w:color="1B2A4A" w:sz="2" w:space="6"/>
        </w:pBdr>
        <w:spacing w:before="400" w:after="200"/>
      </w:pPr>
      <w:r>
        <w:rPr>
          <w:rFonts w:ascii="Arial" w:cs="Arial" w:eastAsia="Arial" w:hAnsi="Arial"/>
          <w:b/>
          <w:bCs/>
          <w:color w:val="1B2A4A"/>
          <w:sz w:val="28"/>
          <w:szCs w:val="28"/>
        </w:rPr>
        <w:t xml:space="preserve">8. TRAINING</w:t>
      </w:r>
    </w:p>
    <w:p>
      <w:pPr>
        <w:spacing w:after="130"/>
      </w:pPr>
      <w:r>
        <w:rPr>
          <w:rFonts w:ascii="Arial" w:cs="Arial" w:eastAsia="Arial" w:hAnsi="Arial"/>
          <w:color w:val="333333"/>
          <w:sz w:val="21"/>
          <w:szCs w:val="21"/>
        </w:rPr>
        <w:t xml:space="preserve">All staff shall receive compliance training:</w:t>
      </w:r>
    </w:p>
    <w:p>
      <w:pPr>
        <w:pStyle w:val="ListParagraph"/>
        <w:numPr>
          <w:ilvl w:val="0"/>
          <w:numId w:val="2"/>
        </w:numPr>
        <w:spacing w:after="80"/>
      </w:pPr>
      <w:r>
        <w:rPr>
          <w:rFonts w:ascii="Arial" w:cs="Arial" w:eastAsia="Arial" w:hAnsi="Arial"/>
          <w:color w:val="333333"/>
          <w:sz w:val="21"/>
          <w:szCs w:val="21"/>
        </w:rPr>
        <w:t xml:space="preserve">Upon joining: comprehensive AML/KYC/sanctions training (within first 30 days)</w:t>
      </w:r>
    </w:p>
    <w:p>
      <w:pPr>
        <w:pStyle w:val="ListParagraph"/>
        <w:numPr>
          <w:ilvl w:val="0"/>
          <w:numId w:val="2"/>
        </w:numPr>
        <w:spacing w:after="80"/>
      </w:pPr>
      <w:r>
        <w:rPr>
          <w:rFonts w:ascii="Arial" w:cs="Arial" w:eastAsia="Arial" w:hAnsi="Arial"/>
          <w:color w:val="333333"/>
          <w:sz w:val="21"/>
          <w:szCs w:val="21"/>
        </w:rPr>
        <w:t xml:space="preserve">Annually: refresher training covering regulatory updates and case studies</w:t>
      </w:r>
    </w:p>
    <w:p>
      <w:pPr>
        <w:pStyle w:val="ListParagraph"/>
        <w:numPr>
          <w:ilvl w:val="0"/>
          <w:numId w:val="2"/>
        </w:numPr>
        <w:spacing w:after="80"/>
      </w:pPr>
      <w:r>
        <w:rPr>
          <w:rFonts w:ascii="Arial" w:cs="Arial" w:eastAsia="Arial" w:hAnsi="Arial"/>
          <w:color w:val="333333"/>
          <w:sz w:val="21"/>
          <w:szCs w:val="21"/>
        </w:rPr>
        <w:t xml:space="preserve">Ad hoc: whenever material regulatory changes occur</w:t>
      </w:r>
    </w:p>
    <w:p>
      <w:pPr>
        <w:spacing w:after="130"/>
      </w:pPr>
      <w:r>
        <w:rPr>
          <w:rFonts w:ascii="Arial" w:cs="Arial" w:eastAsia="Arial" w:hAnsi="Arial"/>
          <w:color w:val="333333"/>
          <w:sz w:val="21"/>
          <w:szCs w:val="21"/>
        </w:rPr>
        <w:t xml:space="preserve">Training attendance shall be documented and maintained by the CO. Staff who fail to complete mandatory training within the specified period shall be restricted from client-facing activities.</w:t>
      </w:r>
    </w:p>
    <w:p>
      <w:pPr>
        <w:pBdr>
          <w:bottom w:val="single" w:color="1B2A4A" w:sz="2" w:space="6"/>
        </w:pBdr>
        <w:spacing w:before="400" w:after="200"/>
      </w:pPr>
      <w:r>
        <w:rPr>
          <w:rFonts w:ascii="Arial" w:cs="Arial" w:eastAsia="Arial" w:hAnsi="Arial"/>
          <w:b/>
          <w:bCs/>
          <w:color w:val="1B2A4A"/>
          <w:sz w:val="28"/>
          <w:szCs w:val="28"/>
        </w:rPr>
        <w:t xml:space="preserve">9. INTERNAL AND EXTERNAL AUDIT</w:t>
      </w:r>
    </w:p>
    <w:p>
      <w:pPr>
        <w:spacing w:before="260" w:after="140"/>
      </w:pPr>
      <w:r>
        <w:rPr>
          <w:rFonts w:ascii="Arial" w:cs="Arial" w:eastAsia="Arial" w:hAnsi="Arial"/>
          <w:b/>
          <w:bCs/>
          <w:color w:val="1B2A4A"/>
          <w:sz w:val="23"/>
          <w:szCs w:val="23"/>
        </w:rPr>
        <w:t xml:space="preserve">9.1 Internal Audit</w:t>
      </w:r>
    </w:p>
    <w:p>
      <w:pPr>
        <w:spacing w:after="130"/>
      </w:pPr>
      <w:r>
        <w:rPr>
          <w:rFonts w:ascii="Arial" w:cs="Arial" w:eastAsia="Arial" w:hAnsi="Arial"/>
          <w:color w:val="333333"/>
          <w:sz w:val="21"/>
          <w:szCs w:val="21"/>
        </w:rPr>
        <w:t xml:space="preserve">The CO shall conduct an internal compliance audit at least annually, reviewing:</w:t>
      </w:r>
    </w:p>
    <w:p>
      <w:pPr>
        <w:pStyle w:val="ListParagraph"/>
        <w:numPr>
          <w:ilvl w:val="0"/>
          <w:numId w:val="2"/>
        </w:numPr>
        <w:spacing w:after="80"/>
      </w:pPr>
      <w:r>
        <w:rPr>
          <w:rFonts w:ascii="Arial" w:cs="Arial" w:eastAsia="Arial" w:hAnsi="Arial"/>
          <w:color w:val="333333"/>
          <w:sz w:val="21"/>
          <w:szCs w:val="21"/>
        </w:rPr>
        <w:t xml:space="preserve">Completeness and accuracy of client KYC files</w:t>
      </w:r>
    </w:p>
    <w:p>
      <w:pPr>
        <w:pStyle w:val="ListParagraph"/>
        <w:numPr>
          <w:ilvl w:val="0"/>
          <w:numId w:val="2"/>
        </w:numPr>
        <w:spacing w:after="80"/>
      </w:pPr>
      <w:r>
        <w:rPr>
          <w:rFonts w:ascii="Arial" w:cs="Arial" w:eastAsia="Arial" w:hAnsi="Arial"/>
          <w:color w:val="333333"/>
          <w:sz w:val="21"/>
          <w:szCs w:val="21"/>
        </w:rPr>
        <w:t xml:space="preserve">Transaction monitoring effectiveness</w:t>
      </w:r>
    </w:p>
    <w:p>
      <w:pPr>
        <w:pStyle w:val="ListParagraph"/>
        <w:numPr>
          <w:ilvl w:val="0"/>
          <w:numId w:val="2"/>
        </w:numPr>
        <w:spacing w:after="80"/>
      </w:pPr>
      <w:r>
        <w:rPr>
          <w:rFonts w:ascii="Arial" w:cs="Arial" w:eastAsia="Arial" w:hAnsi="Arial"/>
          <w:color w:val="333333"/>
          <w:sz w:val="21"/>
          <w:szCs w:val="21"/>
        </w:rPr>
        <w:t xml:space="preserve">STR filing timeliness and completeness</w:t>
      </w:r>
    </w:p>
    <w:p>
      <w:pPr>
        <w:pStyle w:val="ListParagraph"/>
        <w:numPr>
          <w:ilvl w:val="0"/>
          <w:numId w:val="2"/>
        </w:numPr>
        <w:spacing w:after="80"/>
      </w:pPr>
      <w:r>
        <w:rPr>
          <w:rFonts w:ascii="Arial" w:cs="Arial" w:eastAsia="Arial" w:hAnsi="Arial"/>
          <w:color w:val="333333"/>
          <w:sz w:val="21"/>
          <w:szCs w:val="21"/>
        </w:rPr>
        <w:t xml:space="preserve">Record-keeping compliance</w:t>
      </w:r>
    </w:p>
    <w:p>
      <w:pPr>
        <w:pStyle w:val="ListParagraph"/>
        <w:numPr>
          <w:ilvl w:val="0"/>
          <w:numId w:val="2"/>
        </w:numPr>
        <w:spacing w:after="80"/>
      </w:pPr>
      <w:r>
        <w:rPr>
          <w:rFonts w:ascii="Arial" w:cs="Arial" w:eastAsia="Arial" w:hAnsi="Arial"/>
          <w:color w:val="333333"/>
          <w:sz w:val="21"/>
          <w:szCs w:val="21"/>
        </w:rPr>
        <w:t xml:space="preserve">Staff training completion rates</w:t>
      </w:r>
    </w:p>
    <w:p>
      <w:pPr>
        <w:spacing w:before="260" w:after="140"/>
      </w:pPr>
      <w:r>
        <w:rPr>
          <w:rFonts w:ascii="Arial" w:cs="Arial" w:eastAsia="Arial" w:hAnsi="Arial"/>
          <w:b/>
          <w:bCs/>
          <w:color w:val="1B2A4A"/>
          <w:sz w:val="23"/>
          <w:szCs w:val="23"/>
        </w:rPr>
        <w:t xml:space="preserve">9.2 External Audit</w:t>
      </w:r>
    </w:p>
    <w:p>
      <w:pPr>
        <w:spacing w:after="130"/>
      </w:pPr>
      <w:r>
        <w:rPr>
          <w:rFonts w:ascii="Arial" w:cs="Arial" w:eastAsia="Arial" w:hAnsi="Arial"/>
          <w:color w:val="333333"/>
          <w:sz w:val="21"/>
          <w:szCs w:val="21"/>
        </w:rPr>
        <w:t xml:space="preserve">An independent external auditor shall be engaged annually to:</w:t>
      </w:r>
    </w:p>
    <w:p>
      <w:pPr>
        <w:pStyle w:val="ListParagraph"/>
        <w:numPr>
          <w:ilvl w:val="0"/>
          <w:numId w:val="2"/>
        </w:numPr>
        <w:spacing w:after="80"/>
      </w:pPr>
      <w:r>
        <w:rPr>
          <w:rFonts w:ascii="Arial" w:cs="Arial" w:eastAsia="Arial" w:hAnsi="Arial"/>
          <w:color w:val="333333"/>
          <w:sz w:val="21"/>
          <w:szCs w:val="21"/>
        </w:rPr>
        <w:t xml:space="preserve">Verify that client funds in the Segregated Account are properly segregated</w:t>
      </w:r>
    </w:p>
    <w:p>
      <w:pPr>
        <w:pStyle w:val="ListParagraph"/>
        <w:numPr>
          <w:ilvl w:val="0"/>
          <w:numId w:val="2"/>
        </w:numPr>
        <w:spacing w:after="80"/>
      </w:pPr>
      <w:r>
        <w:rPr>
          <w:rFonts w:ascii="Arial" w:cs="Arial" w:eastAsia="Arial" w:hAnsi="Arial"/>
          <w:color w:val="333333"/>
          <w:sz w:val="21"/>
          <w:szCs w:val="21"/>
        </w:rPr>
        <w:t xml:space="preserve">Confirm that the Client Ledger accurately reflects Carbon Credit holdings</w:t>
      </w:r>
    </w:p>
    <w:p>
      <w:pPr>
        <w:pStyle w:val="ListParagraph"/>
        <w:numPr>
          <w:ilvl w:val="0"/>
          <w:numId w:val="2"/>
        </w:numPr>
        <w:spacing w:after="80"/>
      </w:pPr>
      <w:r>
        <w:rPr>
          <w:rFonts w:ascii="Arial" w:cs="Arial" w:eastAsia="Arial" w:hAnsi="Arial"/>
          <w:color w:val="333333"/>
          <w:sz w:val="21"/>
          <w:szCs w:val="21"/>
        </w:rPr>
        <w:t xml:space="preserve">Assess the adequacy of AML/KYC controls</w:t>
      </w:r>
    </w:p>
    <w:p>
      <w:pPr>
        <w:pStyle w:val="ListParagraph"/>
        <w:numPr>
          <w:ilvl w:val="0"/>
          <w:numId w:val="2"/>
        </w:numPr>
        <w:spacing w:after="80"/>
      </w:pPr>
      <w:r>
        <w:rPr>
          <w:rFonts w:ascii="Arial" w:cs="Arial" w:eastAsia="Arial" w:hAnsi="Arial"/>
          <w:color w:val="333333"/>
          <w:sz w:val="21"/>
          <w:szCs w:val="21"/>
        </w:rPr>
        <w:t xml:space="preserve">Issue a compliance opinion letter</w:t>
      </w:r>
    </w:p>
    <w:p>
      <w:pPr>
        <w:pBdr>
          <w:bottom w:val="single" w:color="1B2A4A" w:sz="2" w:space="6"/>
        </w:pBdr>
        <w:spacing w:before="400" w:after="200"/>
      </w:pPr>
      <w:r>
        <w:rPr>
          <w:rFonts w:ascii="Arial" w:cs="Arial" w:eastAsia="Arial" w:hAnsi="Arial"/>
          <w:b/>
          <w:bCs/>
          <w:color w:val="1B2A4A"/>
          <w:sz w:val="28"/>
          <w:szCs w:val="28"/>
        </w:rPr>
        <w:t xml:space="preserve">10. POLICY REVIEW AND AMENDMENTS</w:t>
      </w:r>
    </w:p>
    <w:p>
      <w:pPr>
        <w:spacing w:after="130"/>
      </w:pPr>
      <w:r>
        <w:rPr>
          <w:rFonts w:ascii="Arial" w:cs="Arial" w:eastAsia="Arial" w:hAnsi="Arial"/>
          <w:color w:val="333333"/>
          <w:sz w:val="21"/>
          <w:szCs w:val="21"/>
        </w:rPr>
        <w:t xml:space="preserve">This Manual shall be reviewed annually by the CO and approved by the Board. Ad hoc reviews shall be triggered by:</w:t>
      </w:r>
    </w:p>
    <w:p>
      <w:pPr>
        <w:pStyle w:val="ListParagraph"/>
        <w:numPr>
          <w:ilvl w:val="0"/>
          <w:numId w:val="2"/>
        </w:numPr>
        <w:spacing w:after="80"/>
      </w:pPr>
      <w:r>
        <w:rPr>
          <w:rFonts w:ascii="Arial" w:cs="Arial" w:eastAsia="Arial" w:hAnsi="Arial"/>
          <w:color w:val="333333"/>
          <w:sz w:val="21"/>
          <w:szCs w:val="21"/>
        </w:rPr>
        <w:t xml:space="preserve">Material changes in Applicable Law or regulatory guidance</w:t>
      </w:r>
    </w:p>
    <w:p>
      <w:pPr>
        <w:pStyle w:val="ListParagraph"/>
        <w:numPr>
          <w:ilvl w:val="0"/>
          <w:numId w:val="2"/>
        </w:numPr>
        <w:spacing w:after="80"/>
      </w:pPr>
      <w:r>
        <w:rPr>
          <w:rFonts w:ascii="Arial" w:cs="Arial" w:eastAsia="Arial" w:hAnsi="Arial"/>
          <w:color w:val="333333"/>
          <w:sz w:val="21"/>
          <w:szCs w:val="21"/>
        </w:rPr>
        <w:t xml:space="preserve">Significant compliance incidents or near-misses</w:t>
      </w:r>
    </w:p>
    <w:p>
      <w:pPr>
        <w:pStyle w:val="ListParagraph"/>
        <w:numPr>
          <w:ilvl w:val="0"/>
          <w:numId w:val="2"/>
        </w:numPr>
        <w:spacing w:after="80"/>
      </w:pPr>
      <w:r>
        <w:rPr>
          <w:rFonts w:ascii="Arial" w:cs="Arial" w:eastAsia="Arial" w:hAnsi="Arial"/>
          <w:color w:val="333333"/>
          <w:sz w:val="21"/>
          <w:szCs w:val="21"/>
        </w:rPr>
        <w:t xml:space="preserve">Expansion into new markets or products</w:t>
      </w:r>
    </w:p>
    <w:p>
      <w:pPr>
        <w:pStyle w:val="ListParagraph"/>
        <w:numPr>
          <w:ilvl w:val="0"/>
          <w:numId w:val="2"/>
        </w:numPr>
        <w:spacing w:after="80"/>
      </w:pPr>
      <w:r>
        <w:rPr>
          <w:rFonts w:ascii="Arial" w:cs="Arial" w:eastAsia="Arial" w:hAnsi="Arial"/>
          <w:color w:val="333333"/>
          <w:sz w:val="21"/>
          <w:szCs w:val="21"/>
        </w:rPr>
        <w:t xml:space="preserve">External audit findings or JFIU feedback</w:t>
      </w:r>
    </w:p>
    <w:p>
      <w:pPr>
        <w:pBdr>
          <w:top w:val="single" w:color="10B981" w:sz="2" w:space="8"/>
        </w:pBdr>
        <w:spacing w:before="400"/>
      </w:pPr>
      <w:r>
        <w:rPr>
          <w:rFonts w:ascii="Arial" w:cs="Arial" w:eastAsia="Arial" w:hAnsi="Arial"/>
          <w:b/>
          <w:bCs/>
          <w:color w:val="1B2A4A"/>
          <w:sz w:val="22"/>
          <w:szCs w:val="22"/>
        </w:rPr>
        <w:t xml:space="preserve">APPROVAL</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01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01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Signature &amp; Date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Board Chairman</w:t>
            </w:r>
          </w:p>
        </w:tc>
        <w:tc>
          <w:tcPr>
            <w:tcW w:type="dxa" w:w="301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[Name]</w:t>
            </w:r>
          </w:p>
        </w:tc>
        <w:tc>
          <w:tcPr>
            <w:tcW w:type="dxa" w:w="301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Compliance Officer</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[Name]</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Managing Director</w:t>
            </w:r>
          </w:p>
        </w:tc>
        <w:tc>
          <w:tcPr>
            <w:tcW w:type="dxa" w:w="301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[Name]</w:t>
            </w:r>
          </w:p>
        </w:tc>
        <w:tc>
          <w:tcPr>
            <w:tcW w:type="dxa" w:w="301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1" w:space="4"/>
      </w:pBdr>
      <w:tabs>
        <w:tab w:val="right" w:pos="9026"/>
      </w:tabs>
    </w:pPr>
    <w:r>
      <w:rPr>
        <w:rFonts w:ascii="Arial" w:cs="Arial" w:eastAsia="Arial" w:hAnsi="Arial"/>
        <w:color w:val="666666"/>
        <w:sz w:val="14"/>
        <w:szCs w:val="14"/>
      </w:rPr>
      <w:t xml:space="preserve">Italy Nihao Group Limited — Compliance</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1" w:space="4"/>
      </w:pBdr>
      <w:tabs>
        <w:tab w:val="right" w:pos="9026"/>
      </w:tabs>
    </w:pPr>
    <w:r>
      <w:rPr>
        <w:rFonts w:ascii="Arial" w:cs="Arial" w:eastAsia="Arial" w:hAnsi="Arial"/>
        <w:i/>
        <w:iCs/>
        <w:color w:val="1B2A4A"/>
        <w:sz w:val="16"/>
        <w:szCs w:val="16"/>
      </w:rPr>
      <w:t xml:space="preserve">Compliance Policy Manual v1.0</w:t>
    </w:r>
    <w:r>
      <w:rPr>
        <w:rFonts w:ascii="Arial" w:cs="Arial" w:eastAsia="Arial" w:hAnsi="Arial"/>
        <w:b/>
        <w:bCs/>
        <w:color w:val="DC2626"/>
        <w:sz w:val="16"/>
        <w:szCs w:val="16"/>
      </w:rPr>
      <w:t xml:space="preserve">	INTERNAL — 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2026-02-20T11:02:45.135Z</dcterms:created>
  <dcterms:modified xsi:type="dcterms:W3CDTF">2026-02-20T11:02:45.135Z</dcterms:modified>
</cp:coreProperties>
</file>

<file path=docProps/custom.xml><?xml version="1.0" encoding="utf-8"?>
<Properties xmlns="http://schemas.openxmlformats.org/officeDocument/2006/custom-properties" xmlns:vt="http://schemas.openxmlformats.org/officeDocument/2006/docPropsVTypes"/>
</file>