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2A4A"/>
          <w:sz w:val="36"/>
          <w:szCs w:val="36"/>
        </w:rPr>
        <w:t xml:space="preserve">NIHA Carbon Platform</w:t>
      </w:r>
    </w:p>
    <w:p>
      <w:pPr>
        <w:spacing w:after="400"/>
      </w:pPr>
      <w:r>
        <w:rPr>
          <w:rFonts w:ascii="Arial" w:cs="Arial" w:eastAsia="Arial" w:hAnsi="Arial"/>
          <w:color w:val="555555"/>
          <w:sz w:val="28"/>
          <w:szCs w:val="28"/>
        </w:rPr>
        <w:t xml:space="preserve">Content Inconsistency Analysis: Onboarding vs Introducer Dashboard</w:t>
      </w:r>
    </w:p>
    <w:p>
      <w:pPr>
        <w:spacing w:after="200"/>
      </w:pPr>
      <w:r>
        <w:rPr>
          <w:rFonts w:ascii="Arial" w:cs="Arial" w:eastAsia="Arial" w:hAnsi="Arial"/>
          <w:color w:val="888888"/>
          <w:sz w:val="18"/>
          <w:szCs w:val="18"/>
        </w:rPr>
        <w:t xml:space="preserve">Date: February 20, 2026 | Prepared by: Claude (Automated Code Analysis)</w:t>
      </w:r>
    </w:p>
    <w:p>
      <w:pPr>
        <w:pStyle w:val="Heading1"/>
        <w:spacing w:before="400" w:after="200"/>
      </w:pPr>
      <w:r>
        <w:rPr>
          <w:rFonts w:ascii="Arial" w:cs="Arial" w:eastAsia="Arial" w:hAnsi="Arial"/>
          <w:b/>
          <w:bCs/>
          <w:color w:val="1B2A4A"/>
          <w:sz w:val="32"/>
          <w:szCs w:val="32"/>
        </w:rPr>
        <w:t xml:space="preserve">Executive Summary</w:t>
      </w:r>
    </w:p>
    <w:p>
      <w:pPr>
        <w:spacing w:after="200"/>
      </w:pPr>
      <w:r>
        <w:rPr>
          <w:rFonts w:ascii="Arial" w:cs="Arial" w:eastAsia="Arial" w:hAnsi="Arial"/>
          <w:sz w:val="22"/>
          <w:szCs w:val="22"/>
        </w:rPr>
        <w:t xml:space="preserve">This report documents </w:t>
      </w:r>
      <w:r>
        <w:rPr>
          <w:rFonts w:ascii="Arial" w:cs="Arial" w:eastAsia="Arial" w:hAnsi="Arial"/>
          <w:b/>
          <w:bCs/>
          <w:sz w:val="22"/>
          <w:szCs w:val="22"/>
        </w:rPr>
        <w:t xml:space="preserve">17 content inconsistencies</w:t>
      </w:r>
      <w:r>
        <w:rPr>
          <w:rFonts w:ascii="Arial" w:cs="Arial" w:eastAsia="Arial" w:hAnsi="Arial"/>
          <w:sz w:val="22"/>
          <w:szCs w:val="22"/>
        </w:rPr>
        <w:t xml:space="preserve"> between the Onboarding pages (/onboarding) and the Introducer Dashboard (/introducer/dashboard). Of these, </w:t>
      </w:r>
      <w:r>
        <w:rPr>
          <w:rFonts w:ascii="Arial" w:cs="Arial" w:eastAsia="Arial" w:hAnsi="Arial"/>
          <w:b/>
          <w:bCs/>
          <w:color w:val="E74C3C"/>
          <w:sz w:val="22"/>
          <w:szCs w:val="22"/>
        </w:rPr>
        <w:t xml:space="preserve">6 are HIGH severity</w:t>
      </w:r>
      <w:r>
        <w:rPr>
          <w:rFonts w:ascii="Arial" w:cs="Arial" w:eastAsia="Arial" w:hAnsi="Arial"/>
          <w:sz w:val="22"/>
          <w:szCs w:val="22"/>
        </w:rPr>
        <w:t xml:space="preserve"> (contradictory data that could undermine credibility), </w:t>
      </w:r>
      <w:r>
        <w:rPr>
          <w:rFonts w:ascii="Arial" w:cs="Arial" w:eastAsia="Arial" w:hAnsi="Arial"/>
          <w:b/>
          <w:bCs/>
          <w:color w:val="F39C12"/>
          <w:sz w:val="22"/>
          <w:szCs w:val="22"/>
        </w:rPr>
        <w:t xml:space="preserve">7 are MEDIUM severity</w:t>
      </w:r>
      <w:r>
        <w:rPr>
          <w:rFonts w:ascii="Arial" w:cs="Arial" w:eastAsia="Arial" w:hAnsi="Arial"/>
          <w:sz w:val="22"/>
          <w:szCs w:val="22"/>
        </w:rPr>
        <w:t xml:space="preserve"> (confusing but not directly contradictory), and </w:t>
      </w:r>
      <w:r>
        <w:rPr>
          <w:rFonts w:ascii="Arial" w:cs="Arial" w:eastAsia="Arial" w:hAnsi="Arial"/>
          <w:b/>
          <w:bCs/>
          <w:color w:val="3498DB"/>
          <w:sz w:val="22"/>
          <w:szCs w:val="22"/>
        </w:rPr>
        <w:t xml:space="preserve">4 are LOW severity</w:t>
      </w:r>
      <w:r>
        <w:rPr>
          <w:rFonts w:ascii="Arial" w:cs="Arial" w:eastAsia="Arial" w:hAnsi="Arial"/>
          <w:sz w:val="22"/>
          <w:szCs w:val="22"/>
        </w:rPr>
        <w:t xml:space="preserve"> (minor discrepancies). The most critical issues involve: EUA spot price (€81 vs €88-95), cost savings claims (8-12% vs 10-22% vs 15-25%), settlement times (T+2–T+5 vs 10-14 days), Chinese seller premiums (5-8% vs 16%), and NIHA’s legal characterization (facilitator vs principal).</w:t>
      </w:r>
    </w:p>
    <w:p>
      <w:pPr>
        <w:pStyle w:val="Heading1"/>
        <w:spacing w:before="400" w:after="200"/>
      </w:pPr>
      <w:r>
        <w:rPr>
          <w:rFonts w:ascii="Arial" w:cs="Arial" w:eastAsia="Arial" w:hAnsi="Arial"/>
          <w:b/>
          <w:bCs/>
          <w:color w:val="1B2A4A"/>
          <w:sz w:val="32"/>
          <w:szCs w:val="32"/>
        </w:rPr>
        <w:t xml:space="preserve">Summary of All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8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EUA Price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Cost Savings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8"/>
                <w:szCs w:val="18"/>
              </w:rPr>
              <w:t xml:space="preserve">HIGH</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3</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CEA Spot Price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Price Gap Ratio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Market Impact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Settlement Time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18"/>
                <w:szCs w:val="18"/>
              </w:rPr>
              <w:t xml:space="preserve">LOW</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7</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OTC Market Share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China ETS Entities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9</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Annual Market Value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Savings Per Transaction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11</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Chinese Seller Premium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Transaction Costs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18"/>
                <w:szCs w:val="18"/>
              </w:rPr>
              <w:t xml:space="preserve">LOW</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13</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EUA Price Projection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Value % Math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18"/>
                <w:szCs w:val="18"/>
              </w:rPr>
              <w:t xml:space="preserve">HIGH</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15</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Strategic Value %</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498DB"/>
                <w:sz w:val="18"/>
                <w:szCs w:val="18"/>
              </w:rPr>
              <w:t xml:space="preserve">LOW</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Business Model Description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17</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18"/>
                <w:szCs w:val="18"/>
              </w:rPr>
              <w:t xml:space="preserve">Market Access Model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39C12"/>
                <w:sz w:val="18"/>
                <w:szCs w:val="18"/>
              </w:rPr>
              <w:t xml:space="preserve">MEDIUM</w:t>
            </w:r>
          </w:p>
        </w:tc>
      </w:tr>
    </w:tbl>
    <w:p>
      <w:r>
        <w:br w:type="page"/>
      </w:r>
    </w:p>
    <w:p>
      <w:pPr>
        <w:pStyle w:val="Heading1"/>
        <w:spacing w:before="200" w:after="200"/>
      </w:pPr>
      <w:r>
        <w:rPr>
          <w:rFonts w:ascii="Arial" w:cs="Arial" w:eastAsia="Arial" w:hAnsi="Arial"/>
          <w:b/>
          <w:bCs/>
          <w:color w:val="1B2A4A"/>
          <w:sz w:val="32"/>
          <w:szCs w:val="32"/>
        </w:rPr>
        <w:t xml:space="preserve">Detailed Findings</w:t>
      </w:r>
    </w:p>
    <w:p>
      <w:pPr>
        <w:spacing w:before="300" w:after="100"/>
      </w:pPr>
      <w:r>
        <w:rPr>
          <w:rFonts w:ascii="Arial" w:cs="Arial" w:eastAsia="Arial" w:hAnsi="Arial"/>
          <w:b/>
          <w:bCs/>
          <w:color w:val="1B2A4A"/>
          <w:sz w:val="24"/>
          <w:szCs w:val="24"/>
        </w:rPr>
        <w:t xml:space="preserve">#1 </w:t>
      </w:r>
      <w:r>
        <w:rPr>
          <w:rFonts w:ascii="Arial" w:cs="Arial" w:eastAsia="Arial" w:hAnsi="Arial"/>
          <w:b/>
          <w:bCs/>
          <w:color w:val="1B2A4A"/>
          <w:sz w:val="24"/>
          <w:szCs w:val="24"/>
        </w:rPr>
        <w:t xml:space="preserve">EUA Price</w:t>
      </w:r>
      <w:r>
        <w:rPr>
          <w:rFonts w:ascii="Arial" w:cs="Arial" w:eastAsia="Arial" w:hAnsi="Arial"/>
          <w:b/>
          <w:bCs/>
          <w:color w:val="E74C3C"/>
          <w:sz w:val="20"/>
          <w:szCs w:val="20"/>
        </w:rPr>
        <w:t xml:space="preserve"> [HIGH]</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MarketOverviewPage: EU ETS price history shows €65-90 (2024), €80-95 (2025). EuEntitiesPage uses €88/t (Q1 low), €95/t (baseline), €110/t (Q3 forecast). EuaHoldersPage uses €95/t consistently.</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EU_ETS_METRICS Spot Price = €81/t. COMPARISON_ROWS: €81 market price vs €71-74 via NIHA. DETAILED_EXAMPLES: Steel plant uses 200,000 × €81. CONVERGENCE_TABLE: 2026 = €81.</w:t>
      </w:r>
    </w:p>
    <w:p>
      <w:pPr>
        <w:spacing w:before="50" w:after="50"/>
      </w:pPr>
      <w:r>
        <w:rPr>
          <w:rFonts w:ascii="Arial" w:cs="Arial" w:eastAsia="Arial" w:hAnsi="Arial"/>
          <w:b/>
          <w:bCs/>
          <w:color w:val="E74C3C"/>
          <w:sz w:val="20"/>
          <w:szCs w:val="20"/>
        </w:rPr>
        <w:t xml:space="preserve">Business Impact:</w:t>
      </w:r>
    </w:p>
    <w:p>
      <w:pPr>
        <w:spacing w:after="200"/>
        <w:ind w:left="360"/>
      </w:pPr>
      <w:r>
        <w:rPr>
          <w:rFonts w:ascii="Arial" w:cs="Arial" w:eastAsia="Arial" w:hAnsi="Arial"/>
          <w:sz w:val="19"/>
          <w:szCs w:val="19"/>
        </w:rPr>
        <w:t xml:space="preserve">The onboarding pages use multiple prices (€88, €95, €110) while the introducer dashboard consistently uses €81/t. A client reading both would see contradictory prices for the same time period. The €81 vs €88-95 gap is 9-17%, which undermines credibility.</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#2 </w:t>
      </w:r>
      <w:r>
        <w:rPr>
          <w:rFonts w:ascii="Arial" w:cs="Arial" w:eastAsia="Arial" w:hAnsi="Arial"/>
          <w:b/>
          <w:bCs/>
          <w:color w:val="1B2A4A"/>
          <w:sz w:val="24"/>
          <w:szCs w:val="24"/>
        </w:rPr>
        <w:t xml:space="preserve">Cost Savings %</w:t>
      </w:r>
      <w:r>
        <w:rPr>
          <w:rFonts w:ascii="Arial" w:cs="Arial" w:eastAsia="Arial" w:hAnsi="Arial"/>
          <w:b/>
          <w:bCs/>
          <w:color w:val="E74C3C"/>
          <w:sz w:val="20"/>
          <w:szCs w:val="20"/>
        </w:rPr>
        <w:t xml:space="preserve"> [HIGH]</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OnboardingIndexPage: EU Entities 15-25% value improvement. EuaHoldersPage: Total 10-22% improvement. CEA Holders: 8-25% advantage. Individual sub-categories: up to 34% (Non-EU Financial Firms on EuaHoldersPage).</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HERO_METRICS = 8-12% Cost Savings. VALUE_PROPOSITIONS: 8-12% repeatedly. GROWTH_TRAJECTORY: Phase 1 = 8-12%, Phase 2 = 6-10%, Phase 3 = 4-8%.</w:t>
      </w:r>
    </w:p>
    <w:p>
      <w:pPr>
        <w:spacing w:before="50" w:after="50"/>
      </w:pPr>
      <w:r>
        <w:rPr>
          <w:rFonts w:ascii="Arial" w:cs="Arial" w:eastAsia="Arial" w:hAnsi="Arial"/>
          <w:b/>
          <w:bCs/>
          <w:color w:val="E74C3C"/>
          <w:sz w:val="20"/>
          <w:szCs w:val="20"/>
        </w:rPr>
        <w:t xml:space="preserve">Business Impact:</w:t>
      </w:r>
    </w:p>
    <w:p>
      <w:pPr>
        <w:spacing w:after="200"/>
        <w:ind w:left="360"/>
      </w:pPr>
      <w:r>
        <w:rPr>
          <w:rFonts w:ascii="Arial" w:cs="Arial" w:eastAsia="Arial" w:hAnsi="Arial"/>
          <w:sz w:val="19"/>
          <w:szCs w:val="19"/>
        </w:rPr>
        <w:t xml:space="preserve">The introducer dashboard promises a conservative 8-12% savings, but onboarding pages claim 10-22% or even 15-25%. A client brought in by an introducer expecting 8-12% could feel misled when onboarding pages show different numbers. Conversely, clients might question why the introducer claims are lower.</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#3 </w:t>
      </w:r>
      <w:r>
        <w:rPr>
          <w:rFonts w:ascii="Arial" w:cs="Arial" w:eastAsia="Arial" w:hAnsi="Arial"/>
          <w:b/>
          <w:bCs/>
          <w:color w:val="1B2A4A"/>
          <w:sz w:val="24"/>
          <w:szCs w:val="24"/>
        </w:rPr>
        <w:t xml:space="preserve">CEA Spot Price</w:t>
      </w:r>
      <w:r>
        <w:rPr>
          <w:rFonts w:ascii="Arial" w:cs="Arial" w:eastAsia="Arial" w:hAnsi="Arial"/>
          <w:b/>
          <w:bCs/>
          <w:color w:val="E74C3C"/>
          <w:sz w:val="20"/>
          <w:szCs w:val="20"/>
        </w:rPr>
        <w:t xml:space="preserve"> [HIGH]</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MarketOverviewPage: China ETS timeline shows ¥63-80 (2025), ¥70-90 (2024). StrategicAdvantageData: CEA ~€10-11/t. EuEntitiesPage: no explicit CEA price.</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CHINA_ETS_METRICS = ¥80-100 (~€9-11/t). HERO_METRICS: ~€9-11/t. COMPARISON_METRICS: ~€11/t.</w:t>
      </w:r>
    </w:p>
    <w:p>
      <w:pPr>
        <w:spacing w:before="50" w:after="50"/>
      </w:pPr>
      <w:r>
        <w:rPr>
          <w:rFonts w:ascii="Arial" w:cs="Arial" w:eastAsia="Arial" w:hAnsi="Arial"/>
          <w:b/>
          <w:bCs/>
          <w:color w:val="E74C3C"/>
          <w:sz w:val="20"/>
          <w:szCs w:val="20"/>
        </w:rPr>
        <w:t xml:space="preserve">Business Impact:</w:t>
      </w:r>
    </w:p>
    <w:p>
      <w:pPr>
        <w:spacing w:after="200"/>
        <w:ind w:left="360"/>
      </w:pPr>
      <w:r>
        <w:rPr>
          <w:rFonts w:ascii="Arial" w:cs="Arial" w:eastAsia="Arial" w:hAnsi="Arial"/>
          <w:sz w:val="19"/>
          <w:szCs w:val="19"/>
        </w:rPr>
        <w:t xml:space="preserve">Onboarding shows ¥63-80 for 2025, while introducer shows ¥80-100. The EUR equivalent also differs: onboarding’s strategicAdvantageData says €10-11/t while introducer says €9-11/t. The CNY range discrepancy (¥63-80 vs ¥80-100) represents a 25%+ difference.</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#4 </w:t>
      </w:r>
      <w:r>
        <w:rPr>
          <w:rFonts w:ascii="Arial" w:cs="Arial" w:eastAsia="Arial" w:hAnsi="Arial"/>
          <w:b/>
          <w:bCs/>
          <w:color w:val="1B2A4A"/>
          <w:sz w:val="24"/>
          <w:szCs w:val="24"/>
        </w:rPr>
        <w:t xml:space="preserve">Price Gap Ratio</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No explicit “7-10×” ratio stated. EuEntitiesPage uses 8.5:1 (EUA:CEA) for swap calculations. EuaHoldersPage says “1 EUA : 8-12 CEA typically”.</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HERO_METRICS = 7-10× EUA/CEA Price Gap. OVERVIEW_NARRATIVES: “7-10× price differential” throughout. HOW_IT_WORKS_STEPS: “7-10× price gap” in swap step.</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The introducer consistently uses 7-10× as the headline gap, but onboarding pages show 8.5:1 or 8-12 range for swap ratios. These are conceptually related but numerically different (7-10× as price ratio vs 8-12:1 as swap ratio). This could confuse clients about the actual economics.</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#5 </w:t>
      </w:r>
      <w:r>
        <w:rPr>
          <w:rFonts w:ascii="Arial" w:cs="Arial" w:eastAsia="Arial" w:hAnsi="Arial"/>
          <w:b/>
          <w:bCs/>
          <w:color w:val="1B2A4A"/>
          <w:sz w:val="24"/>
          <w:szCs w:val="24"/>
        </w:rPr>
        <w:t xml:space="preserve">Market Impact</w:t>
      </w:r>
      <w:r>
        <w:rPr>
          <w:rFonts w:ascii="Arial" w:cs="Arial" w:eastAsia="Arial" w:hAnsi="Arial"/>
          <w:b/>
          <w:bCs/>
          <w:color w:val="E74C3C"/>
          <w:sz w:val="20"/>
          <w:szCs w:val="20"/>
        </w:rPr>
        <w:t xml:space="preserve"> [HIGH]</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EuaHoldersPage: “Price impact from large orders: 2-5% adverse movement”. EuEntitiesPage: Market impact stated as 0.5-1.5%.</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COMPARISON_ROWS: “Visible on orderbook” (no %). VALUE_PROPOSITIONS: “Zero market impact”. DETAILED_EXAMPLES: Steel plant shows ~€0.15-0.30/t slippage.</w:t>
      </w:r>
    </w:p>
    <w:p>
      <w:pPr>
        <w:spacing w:before="50" w:after="50"/>
      </w:pPr>
      <w:r>
        <w:rPr>
          <w:rFonts w:ascii="Arial" w:cs="Arial" w:eastAsia="Arial" w:hAnsi="Arial"/>
          <w:b/>
          <w:bCs/>
          <w:color w:val="E74C3C"/>
          <w:sz w:val="20"/>
          <w:szCs w:val="20"/>
        </w:rPr>
        <w:t xml:space="preserve">Business Impact:</w:t>
      </w:r>
    </w:p>
    <w:p>
      <w:pPr>
        <w:spacing w:after="200"/>
        <w:ind w:left="360"/>
      </w:pPr>
      <w:r>
        <w:rPr>
          <w:rFonts w:ascii="Arial" w:cs="Arial" w:eastAsia="Arial" w:hAnsi="Arial"/>
          <w:sz w:val="19"/>
          <w:szCs w:val="19"/>
        </w:rPr>
        <w:t xml:space="preserve">Onboarding pages claim 2-5% market impact (EuaHolders) and 0.5-1.5% (EuEntities) — a 4× discrepancy. The introducer dashboard avoids specific percentages. A client seeing 2-5% in one place and 0.5-1.5% elsewhere would question data reliability.</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#6 </w:t>
      </w:r>
      <w:r>
        <w:rPr>
          <w:rFonts w:ascii="Arial" w:cs="Arial" w:eastAsia="Arial" w:hAnsi="Arial"/>
          <w:b/>
          <w:bCs/>
          <w:color w:val="1B2A4A"/>
          <w:sz w:val="24"/>
          <w:szCs w:val="24"/>
        </w:rPr>
        <w:t xml:space="preserve">Settlement Time</w:t>
      </w:r>
      <w:r>
        <w:rPr>
          <w:rFonts w:ascii="Arial" w:cs="Arial" w:eastAsia="Arial" w:hAnsi="Arial"/>
          <w:b/>
          <w:bCs/>
          <w:color w:val="3498DB"/>
          <w:sz w:val="20"/>
          <w:szCs w:val="20"/>
        </w:rPr>
        <w:t xml:space="preserve"> [LOW]</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EuEntitiesPage: 10-14 days for NIHA bilateral settlement. Exchange: 30+ days. Overall timeline: 6-8 weeks.</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HERO_METRICS = T+2–T+5 OTC Settlement. COMPARISON_ROWS: T+2–T+5 single agreement. HOW_IT_WORKS: T+2 to T+5 from trade date.</w:t>
      </w:r>
    </w:p>
    <w:p>
      <w:pPr>
        <w:spacing w:before="50" w:after="50"/>
      </w:pPr>
      <w:r>
        <w:rPr>
          <w:rFonts w:ascii="Arial" w:cs="Arial" w:eastAsia="Arial" w:hAnsi="Arial"/>
          <w:b/>
          <w:bCs/>
          <w:color w:val="3498DB"/>
          <w:sz w:val="20"/>
          <w:szCs w:val="20"/>
        </w:rPr>
        <w:t xml:space="preserve">Business Impact:</w:t>
      </w:r>
    </w:p>
    <w:p>
      <w:pPr>
        <w:spacing w:after="200"/>
        <w:ind w:left="360"/>
      </w:pPr>
      <w:r>
        <w:rPr>
          <w:rFonts w:ascii="Arial" w:cs="Arial" w:eastAsia="Arial" w:hAnsi="Arial"/>
          <w:sz w:val="19"/>
          <w:szCs w:val="19"/>
        </w:rPr>
        <w:t xml:space="preserve">The introducer says T+2–T+5 (2-5 business days). The onboarding page says 10-14 days. These are fundamentally different: 2-5 days vs 10-14 days. Even if “T+2–T+5” refers to trade settlement and “10-14 days” refers to the full swap cycle, this distinction is never clarified.</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#7 </w:t>
      </w:r>
      <w:r>
        <w:rPr>
          <w:rFonts w:ascii="Arial" w:cs="Arial" w:eastAsia="Arial" w:hAnsi="Arial"/>
          <w:b/>
          <w:bCs/>
          <w:color w:val="1B2A4A"/>
          <w:sz w:val="24"/>
          <w:szCs w:val="24"/>
        </w:rPr>
        <w:t xml:space="preserve">OTC Market Share</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No explicit OTC % mentioned in onboarding pages. General reference to bilateral trading.</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EU_ETS_ACCORDIONS: OTC = 36% of volume. Also: “15-25%” for OTC brokers specifically. HERO_METRICS: 15-25% Broker-Intermediated OTC. MiniDonut chart: Exchange 64% / OTC 36%. MiniBarChart: OTC bar shows 15-25%.</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Within the introducer dashboard itself, OTC is both 36% (EU_ETS_ACCORDIONS structure section, donut chart) and 15-25% (HERO_METRICS, bar chart). The text mentions “~36% of total volume” but then says brokers handle “15-25%”. The distinction (total OTC vs broker-intermediated OTC) exists but is confusing because both claim to represent the same concept.</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#8 </w:t>
      </w:r>
      <w:r>
        <w:rPr>
          <w:rFonts w:ascii="Arial" w:cs="Arial" w:eastAsia="Arial" w:hAnsi="Arial"/>
          <w:b/>
          <w:bCs/>
          <w:color w:val="1B2A4A"/>
          <w:sz w:val="24"/>
          <w:szCs w:val="24"/>
        </w:rPr>
        <w:t xml:space="preserve">China ETS Entities</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MarketOverviewPage: 2,162+ companies (power). CEA HoldersPage: Power ~2,500 entities. Steel 400-500, Cement 600-700, Aluminum 200-250. Total implied: ~4,000+.</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CHINA_ETS_METRICS = 3,500+ Covered Entities. CHINA_ETS_ACCORDIONS: Power sector 3,500+ (after expansion). Timeline: 2021 = ~2,200; 2024 = 3,000; 2025 = 3,500+.</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Onboarding says 2,162+ (power only), while CEA Holders page lists breakdowns totaling ~4,000+. Introducer uses 3,500+. The number 2,162 vs 2,200 vs 2,500 (all for power sector) shows inconsistency even for the same metric.</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#9 </w:t>
      </w:r>
      <w:r>
        <w:rPr>
          <w:rFonts w:ascii="Arial" w:cs="Arial" w:eastAsia="Arial" w:hAnsi="Arial"/>
          <w:b/>
          <w:bCs/>
          <w:color w:val="1B2A4A"/>
          <w:sz w:val="24"/>
          <w:szCs w:val="24"/>
        </w:rPr>
        <w:t xml:space="preserve">Annual Market Value</w:t>
      </w:r>
      <w:r>
        <w:rPr>
          <w:rFonts w:ascii="Arial" w:cs="Arial" w:eastAsia="Arial" w:hAnsi="Arial"/>
          <w:b/>
          <w:bCs/>
          <w:color w:val="E74C3C"/>
          <w:sz w:val="20"/>
          <w:szCs w:val="20"/>
        </w:rPr>
        <w:t xml:space="preserve"> [HIGH]</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StrategicAdvantageData: EU ETS Annual = €38B. VCM 2025 = $1.6B. Market potential by 2050 = $250B. EuaHoldersPage: Aggregate market opportunity €58.7-982.7B total. Conservative: €200-300B.</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OVERVIEW_NARRATIVES: “€450B-€750B of annual carbon market OTC activity.” No market size stat in HERO_METRICS.</w:t>
      </w:r>
    </w:p>
    <w:p>
      <w:pPr>
        <w:spacing w:before="50" w:after="50"/>
      </w:pPr>
      <w:r>
        <w:rPr>
          <w:rFonts w:ascii="Arial" w:cs="Arial" w:eastAsia="Arial" w:hAnsi="Arial"/>
          <w:b/>
          <w:bCs/>
          <w:color w:val="E74C3C"/>
          <w:sz w:val="20"/>
          <w:szCs w:val="20"/>
        </w:rPr>
        <w:t xml:space="preserve">Business Impact:</w:t>
      </w:r>
    </w:p>
    <w:p>
      <w:pPr>
        <w:spacing w:after="200"/>
        <w:ind w:left="360"/>
      </w:pPr>
      <w:r>
        <w:rPr>
          <w:rFonts w:ascii="Arial" w:cs="Arial" w:eastAsia="Arial" w:hAnsi="Arial"/>
          <w:sz w:val="19"/>
          <w:szCs w:val="19"/>
        </w:rPr>
        <w:t xml:space="preserve">Onboarding claims EU ETS is €38B/year, but also claims €58.7-982.7B total opportunity (17× range). Introducer says €450B-€750B in OTC alone. These numbers are in completely different orders of magnitude and none are reconciled.</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#10 </w:t>
      </w:r>
      <w:r>
        <w:rPr>
          <w:rFonts w:ascii="Arial" w:cs="Arial" w:eastAsia="Arial" w:hAnsi="Arial"/>
          <w:b/>
          <w:bCs/>
          <w:color w:val="1B2A4A"/>
          <w:sz w:val="24"/>
          <w:szCs w:val="24"/>
        </w:rPr>
        <w:t xml:space="preserve">Savings Per Transaction</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EuEntitiesPage: Cost savings €45,000-340,000 per transaction. Annual (5 tx/year): €225K-1.7M. Operational advantage: €50,000-500,000 per large transaction.</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DETAILED_EXAMPLES: Steel plant 200K EUA = €1.62M/year saving (10% on €16.2M). Power co 500K CEA = ¥3M benefit. Trader 50K EUA = ~3-5% execution improvement.</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Onboarding uses abstract ranges (€45K-340K) while introducer gives concrete examples (€1.62M). The €1.62M annual saving from the introducer far exceeds the onboarding’s €225K-1.7M range. Also, onboarding’s €50K-500K “per large transaction” vs introducer’s €1.62M creates a 3× discrepancy.</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#11 </w:t>
      </w:r>
      <w:r>
        <w:rPr>
          <w:rFonts w:ascii="Arial" w:cs="Arial" w:eastAsia="Arial" w:hAnsi="Arial"/>
          <w:b/>
          <w:bCs/>
          <w:color w:val="1B2A4A"/>
          <w:sz w:val="24"/>
          <w:szCs w:val="24"/>
        </w:rPr>
        <w:t xml:space="preserve">Chinese Seller Premium</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CeaHoldersPage: SEEE Q4 price ¥75/t. Private Nihao price ¥87/t. Premium: 16%. Also: “5-8% better than domestic” mentioned elsewhere.</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CLIENT_PATHS Path B: Domestic ¥97-99/t vs NIHA ¥103-106/t. FAQ: “¥103-106 equivalent vs ¥97-99 domestically” = 5-8% better.</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Onboarding uses ¥75/t (SEEE) vs ¥87/t (Nihao) = 16% premium. Introducer uses ¥97-99 vs ¥103-106 = 5-8% premium. The absolute price levels differ by 30% (¥75 vs ¥97-99), and the premium claim is 16% vs 5-8%. These are completely incompatible.</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#12 </w:t>
      </w:r>
      <w:r>
        <w:rPr>
          <w:rFonts w:ascii="Arial" w:cs="Arial" w:eastAsia="Arial" w:hAnsi="Arial"/>
          <w:b/>
          <w:bCs/>
          <w:color w:val="1B2A4A"/>
          <w:sz w:val="24"/>
          <w:szCs w:val="24"/>
        </w:rPr>
        <w:t xml:space="preserve">Transaction Costs</w:t>
      </w:r>
      <w:r>
        <w:rPr>
          <w:rFonts w:ascii="Arial" w:cs="Arial" w:eastAsia="Arial" w:hAnsi="Arial"/>
          <w:b/>
          <w:bCs/>
          <w:color w:val="3498DB"/>
          <w:sz w:val="20"/>
          <w:szCs w:val="20"/>
        </w:rPr>
        <w:t xml:space="preserve"> [LOW]</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EuEntitiesPage: Exchange trading costs €95K-450K for 1M EUA. NIHA bilateral €50K-110K. Audit fees: Exchange €20K-100K/yr, NIHA €10K-50K/yr.</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No explicit transaction cost breakdown. COMPARISON_ROWS mentions cost categories qualitatively. CLIENT_PATHS Path C: ~2-4% double spread (exchange) vs ~1% (NIHA).</w:t>
      </w:r>
    </w:p>
    <w:p>
      <w:pPr>
        <w:spacing w:before="50" w:after="50"/>
      </w:pPr>
      <w:r>
        <w:rPr>
          <w:rFonts w:ascii="Arial" w:cs="Arial" w:eastAsia="Arial" w:hAnsi="Arial"/>
          <w:b/>
          <w:bCs/>
          <w:color w:val="3498DB"/>
          <w:sz w:val="20"/>
          <w:szCs w:val="20"/>
        </w:rPr>
        <w:t xml:space="preserve">Business Impact:</w:t>
      </w:r>
    </w:p>
    <w:p>
      <w:pPr>
        <w:spacing w:after="200"/>
        <w:ind w:left="360"/>
      </w:pPr>
      <w:r>
        <w:rPr>
          <w:rFonts w:ascii="Arial" w:cs="Arial" w:eastAsia="Arial" w:hAnsi="Arial"/>
          <w:sz w:val="19"/>
          <w:szCs w:val="19"/>
        </w:rPr>
        <w:t xml:space="preserve">The onboarding provides detailed EUR cost breakdowns that don’t appear in the introducer dashboard. An introducer cannot verify or discuss these specific numbers. The percentage-based costs (1-4%) in the introducer don’t align with the absolute numbers in onboarding.</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#13 </w:t>
      </w:r>
      <w:r>
        <w:rPr>
          <w:rFonts w:ascii="Arial" w:cs="Arial" w:eastAsia="Arial" w:hAnsi="Arial"/>
          <w:b/>
          <w:bCs/>
          <w:color w:val="1B2A4A"/>
          <w:sz w:val="24"/>
          <w:szCs w:val="24"/>
        </w:rPr>
        <w:t xml:space="preserve">EUA Price Projection</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MarketOverviewPage: 2030 projection €130-150/t (+48-70% from current).</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CONVERGENCE_TABLE: 2030 = ~€126/t. TIMING_CATALYSTS: “€90-100 by 2027, €120-130 by 2030.”</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Onboarding projects €130-150 for 2030, introducer projects €126 (table) or €120-130 (text). The €150 upper bound in onboarding is 19% higher than the introducer’s €126. These are forward-looking claims that should be consistent.</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#14 </w:t>
      </w:r>
      <w:r>
        <w:rPr>
          <w:rFonts w:ascii="Arial" w:cs="Arial" w:eastAsia="Arial" w:hAnsi="Arial"/>
          <w:b/>
          <w:bCs/>
          <w:color w:val="1B2A4A"/>
          <w:sz w:val="24"/>
          <w:szCs w:val="24"/>
        </w:rPr>
        <w:t xml:space="preserve">Value % Math</w:t>
      </w:r>
      <w:r>
        <w:rPr>
          <w:rFonts w:ascii="Arial" w:cs="Arial" w:eastAsia="Arial" w:hAnsi="Arial"/>
          <w:b/>
          <w:bCs/>
          <w:color w:val="E74C3C"/>
          <w:sz w:val="20"/>
          <w:szCs w:val="20"/>
        </w:rPr>
        <w:t xml:space="preserve"> [HIGH]</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EuaHoldersPage sums: Price arbitrage 8-18%, Timing 1-8%, Operational 1-3%, Currency 1-2%, Strategic 1-4%. Sum of ranges: 12-35%. Stated total: 10-22%.</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No detailed advantage breakdown. Single claim: 8-12% cost savings.</w:t>
      </w:r>
    </w:p>
    <w:p>
      <w:pPr>
        <w:spacing w:before="50" w:after="50"/>
      </w:pPr>
      <w:r>
        <w:rPr>
          <w:rFonts w:ascii="Arial" w:cs="Arial" w:eastAsia="Arial" w:hAnsi="Arial"/>
          <w:b/>
          <w:bCs/>
          <w:color w:val="E74C3C"/>
          <w:sz w:val="20"/>
          <w:szCs w:val="20"/>
        </w:rPr>
        <w:t xml:space="preserve">Business Impact:</w:t>
      </w:r>
    </w:p>
    <w:p>
      <w:pPr>
        <w:spacing w:after="200"/>
        <w:ind w:left="360"/>
      </w:pPr>
      <w:r>
        <w:rPr>
          <w:rFonts w:ascii="Arial" w:cs="Arial" w:eastAsia="Arial" w:hAnsi="Arial"/>
          <w:sz w:val="19"/>
          <w:szCs w:val="19"/>
        </w:rPr>
        <w:t xml:space="preserve">The onboarding page’s own math doesn’t add up: component ranges sum to 12-35% but the stated total is 10-22%. Neither matches the introducer’s 8-12%. Three different numbers (8-12%, 10-22%, 12-35%) for what should be the same value proposition.</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#15 </w:t>
      </w:r>
      <w:r>
        <w:rPr>
          <w:rFonts w:ascii="Arial" w:cs="Arial" w:eastAsia="Arial" w:hAnsi="Arial"/>
          <w:b/>
          <w:bCs/>
          <w:color w:val="1B2A4A"/>
          <w:sz w:val="24"/>
          <w:szCs w:val="24"/>
        </w:rPr>
        <w:t xml:space="preserve">Strategic Value %</w:t>
      </w:r>
      <w:r>
        <w:rPr>
          <w:rFonts w:ascii="Arial" w:cs="Arial" w:eastAsia="Arial" w:hAnsi="Arial"/>
          <w:b/>
          <w:bCs/>
          <w:color w:val="3498DB"/>
          <w:sz w:val="20"/>
          <w:szCs w:val="20"/>
        </w:rPr>
        <w:t xml:space="preserve"> [LOW]</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EuaHoldersPage: “Strategic option value: 1-3% of portfolio annually.” EuEntitiesPage: “1-2% option value.”</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No explicit strategic option value percentage mentioned.</w:t>
      </w:r>
    </w:p>
    <w:p>
      <w:pPr>
        <w:spacing w:before="50" w:after="50"/>
      </w:pPr>
      <w:r>
        <w:rPr>
          <w:rFonts w:ascii="Arial" w:cs="Arial" w:eastAsia="Arial" w:hAnsi="Arial"/>
          <w:b/>
          <w:bCs/>
          <w:color w:val="3498DB"/>
          <w:sz w:val="20"/>
          <w:szCs w:val="20"/>
        </w:rPr>
        <w:t xml:space="preserve">Business Impact:</w:t>
      </w:r>
    </w:p>
    <w:p>
      <w:pPr>
        <w:spacing w:after="200"/>
        <w:ind w:left="360"/>
      </w:pPr>
      <w:r>
        <w:rPr>
          <w:rFonts w:ascii="Arial" w:cs="Arial" w:eastAsia="Arial" w:hAnsi="Arial"/>
          <w:sz w:val="19"/>
          <w:szCs w:val="19"/>
        </w:rPr>
        <w:t xml:space="preserve">Within onboarding, the same concept is 1-3% on one page and 1-2% on another. Minor but contributes to an impression of inconsistent data.</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#16 </w:t>
      </w:r>
      <w:r>
        <w:rPr>
          <w:rFonts w:ascii="Arial" w:cs="Arial" w:eastAsia="Arial" w:hAnsi="Arial"/>
          <w:b/>
          <w:bCs/>
          <w:color w:val="1B2A4A"/>
          <w:sz w:val="24"/>
          <w:szCs w:val="24"/>
        </w:rPr>
        <w:t xml:space="preserve">Business Model Description</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AboutNihaoPage: “Carbon Certificate Intermediation”, “Private bilateral deal facilitation”, “Direct negotiation between counterparties.” Implies NIHA is an intermediary/facilitator.</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LEGAL_ACCORDIONS (why-principal): “NIHA must act as principal, not broker.” FAQ: “NIHA operates as principal.” HOW_IT_WORKS: “NIHA acting as principal (required by regulation).”</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The onboarding page describes NIHA as a “facilitator” of bilateral deals, while the introducer dashboard explicitly states NIHA is NOT a broker and MUST act as principal. This is a fundamental legal distinction that could create compliance issues if clients are told different things.</w:t>
      </w:r>
    </w:p>
    <w:p>
      <w:pPr>
        <w:pBdr>
          <w:bottom w:val="single" w:color="DDDDDD" w:sz="1" w:space="1"/>
        </w:pBdr>
        <w:spacing w:after="100"/>
      </w:pPr>
    </w:p>
    <w:p>
      <w:pPr>
        <w:spacing w:before="300" w:after="100"/>
      </w:pPr>
      <w:r>
        <w:rPr>
          <w:rFonts w:ascii="Arial" w:cs="Arial" w:eastAsia="Arial" w:hAnsi="Arial"/>
          <w:b/>
          <w:bCs/>
          <w:color w:val="1B2A4A"/>
          <w:sz w:val="24"/>
          <w:szCs w:val="24"/>
        </w:rPr>
        <w:t xml:space="preserve">#17 </w:t>
      </w:r>
      <w:r>
        <w:rPr>
          <w:rFonts w:ascii="Arial" w:cs="Arial" w:eastAsia="Arial" w:hAnsi="Arial"/>
          <w:b/>
          <w:bCs/>
          <w:color w:val="1B2A4A"/>
          <w:sz w:val="24"/>
          <w:szCs w:val="24"/>
        </w:rPr>
        <w:t xml:space="preserve">Market Access Model</w:t>
      </w:r>
      <w:r>
        <w:rPr>
          <w:rFonts w:ascii="Arial" w:cs="Arial" w:eastAsia="Arial" w:hAnsi="Arial"/>
          <w:b/>
          <w:bCs/>
          <w:color w:val="F39C12"/>
          <w:sz w:val="20"/>
          <w:szCs w:val="20"/>
        </w:rPr>
        <w:t xml:space="preserve"> [MEDIUM]</w:t>
      </w:r>
    </w:p>
    <w:p>
      <w:pPr>
        <w:spacing w:before="100" w:after="50"/>
      </w:pPr>
      <w:r>
        <w:rPr>
          <w:rFonts w:ascii="Arial" w:cs="Arial" w:eastAsia="Arial" w:hAnsi="Arial"/>
          <w:b/>
          <w:bCs/>
          <w:color w:val="2980B9"/>
          <w:sz w:val="20"/>
          <w:szCs w:val="20"/>
        </w:rPr>
        <w:t xml:space="preserve">Onboarding (/onboarding):</w:t>
      </w:r>
    </w:p>
    <w:p>
      <w:pPr>
        <w:spacing w:after="100"/>
        <w:ind w:left="360"/>
      </w:pPr>
      <w:r>
        <w:rPr>
          <w:rFonts w:ascii="Arial" w:cs="Arial" w:eastAsia="Arial" w:hAnsi="Arial"/>
          <w:sz w:val="19"/>
          <w:szCs w:val="19"/>
        </w:rPr>
        <w:t xml:space="preserve">AboutNihaoPage references “Hong Kong the applicable regulatory authority (the applicable regulatory authority) oversight.” General regulatory framework language.</w:t>
      </w:r>
    </w:p>
    <w:p>
      <w:pPr>
        <w:spacing w:before="50" w:after="50"/>
      </w:pPr>
      <w:r>
        <w:rPr>
          <w:rFonts w:ascii="Arial" w:cs="Arial" w:eastAsia="Arial" w:hAnsi="Arial"/>
          <w:b/>
          <w:bCs/>
          <w:color w:val="27AE60"/>
          <w:sz w:val="20"/>
          <w:szCs w:val="20"/>
        </w:rPr>
        <w:t xml:space="preserve">Introducer Dashboard (/introducer/dashboard):</w:t>
      </w:r>
    </w:p>
    <w:p>
      <w:pPr>
        <w:spacing w:after="100"/>
        <w:ind w:left="360"/>
      </w:pPr>
      <w:r>
        <w:rPr>
          <w:rFonts w:ascii="Arial" w:cs="Arial" w:eastAsia="Arial" w:hAnsi="Arial"/>
          <w:sz w:val="19"/>
          <w:szCs w:val="19"/>
        </w:rPr>
        <w:t xml:space="preserve">constants.ts: LEGAL_ACCORDIONS: “Carbon credits are not regulated as securities under the applicable securities legislation.” Explicitly states no the applicable regulatory authority licensing needed for carbon operations. LEGAL_SUMMARY_CARDS: NIHA = “Authorized” via GBA framework, not the applicable regulatory authority.</w:t>
      </w:r>
    </w:p>
    <w:p>
      <w:pPr>
        <w:spacing w:before="50" w:after="50"/>
      </w:pPr>
      <w:r>
        <w:rPr>
          <w:rFonts w:ascii="Arial" w:cs="Arial" w:eastAsia="Arial" w:hAnsi="Arial"/>
          <w:b/>
          <w:bCs/>
          <w:color w:val="F39C12"/>
          <w:sz w:val="20"/>
          <w:szCs w:val="20"/>
        </w:rPr>
        <w:t xml:space="preserve">Business Impact:</w:t>
      </w:r>
    </w:p>
    <w:p>
      <w:pPr>
        <w:spacing w:after="200"/>
        <w:ind w:left="360"/>
      </w:pPr>
      <w:r>
        <w:rPr>
          <w:rFonts w:ascii="Arial" w:cs="Arial" w:eastAsia="Arial" w:hAnsi="Arial"/>
          <w:sz w:val="19"/>
          <w:szCs w:val="19"/>
        </w:rPr>
        <w:t xml:space="preserve">Onboarding implies the applicable regulatory authority regulatory oversight, while the introducer dashboard explicitly says carbon is NOT regulated under the applicable securities legislation (Securities and Futures Ordinance). These are contradictory regulatory positions.</w:t>
      </w:r>
    </w:p>
    <w:p>
      <w:pPr>
        <w:pBdr>
          <w:bottom w:val="single" w:color="DDDDDD" w:sz="1" w:space="1"/>
        </w:pBdr>
        <w:spacing w:after="100"/>
      </w:pPr>
    </w:p>
    <w:p>
      <w:r>
        <w:br w:type="page"/>
      </w:r>
    </w:p>
    <w:p>
      <w:pPr>
        <w:pStyle w:val="Heading1"/>
        <w:spacing w:before="200" w:after="200"/>
      </w:pPr>
      <w:r>
        <w:rPr>
          <w:rFonts w:ascii="Arial" w:cs="Arial" w:eastAsia="Arial" w:hAnsi="Arial"/>
          <w:b/>
          <w:bCs/>
          <w:color w:val="1B2A4A"/>
          <w:sz w:val="32"/>
          <w:szCs w:val="32"/>
        </w:rPr>
        <w:t xml:space="preserve">Recommendations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NIHA Platform — Content Inconsistency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2026-02-20T09:08:54.885Z</dcterms:created>
  <dcterms:modified xsi:type="dcterms:W3CDTF">2026-02-20T09:08:54.886Z</dcterms:modified>
</cp:coreProperties>
</file>

<file path=docProps/custom.xml><?xml version="1.0" encoding="utf-8"?>
<Properties xmlns="http://schemas.openxmlformats.org/officeDocument/2006/custom-properties" xmlns:vt="http://schemas.openxmlformats.org/officeDocument/2006/docPropsVTypes"/>
</file>