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B2A4A"/>
          <w:sz w:val="48"/>
          <w:szCs w:val="48"/>
        </w:rPr>
        <w:t xml:space="preserve">NIHA DOCUMENT SUITE</w:t>
      </w:r>
    </w:p>
    <w:p>
      <w:pPr>
        <w:spacing w:after="400"/>
        <w:jc w:val="center"/>
      </w:pPr>
      <w:r>
        <w:rPr>
          <w:rFonts w:ascii="Times New Roman" w:cs="Times New Roman" w:eastAsia="Times New Roman" w:hAnsi="Times New Roman"/>
          <w:color w:val="2E75B6"/>
          <w:sz w:val="32"/>
          <w:szCs w:val="32"/>
        </w:rPr>
        <w:t xml:space="preserve">Planul Complet al Documentației</w:t>
      </w:r>
    </w:p>
    <w:p>
      <w:pPr>
        <w:spacing w:after="600"/>
        <w:jc w:val="center"/>
      </w:pPr>
      <w:r>
        <w:rPr>
          <w:rFonts w:ascii="Times New Roman" w:cs="Times New Roman" w:eastAsia="Times New Roman" w:hAnsi="Times New Roman"/>
          <w:i/>
          <w:iCs/>
          <w:color w:val="666666"/>
          <w:sz w:val="24"/>
          <w:szCs w:val="24"/>
        </w:rPr>
        <w:t xml:space="preserve">Rolul Fiecărui Document în Ciclul de Viață al Platformei</w:t>
      </w:r>
    </w:p>
    <w:p>
      <w:pPr>
        <w:spacing w:after="100"/>
        <w:jc w:val="center"/>
      </w:pPr>
      <w:r>
        <w:rPr>
          <w:rFonts w:ascii="Times New Roman" w:cs="Times New Roman" w:eastAsia="Times New Roman" w:hAnsi="Times New Roman"/>
          <w:color w:val="333333"/>
          <w:sz w:val="24"/>
          <w:szCs w:val="24"/>
        </w:rPr>
        <w:t xml:space="preserve">Italy Nihao Group Limited</w:t>
      </w:r>
    </w:p>
    <w:p>
      <w:pPr>
        <w:spacing w:after="100"/>
        <w:jc w:val="center"/>
      </w:pPr>
      <w:r>
        <w:rPr>
          <w:rFonts w:ascii="Times New Roman" w:cs="Times New Roman" w:eastAsia="Times New Roman" w:hAnsi="Times New Roman"/>
          <w:color w:val="666666"/>
          <w:sz w:val="20"/>
          <w:szCs w:val="20"/>
        </w:rPr>
        <w:t xml:space="preserve">Versiune: 1.0 | Data: 21 Februarie 2026</w:t>
      </w:r>
    </w:p>
    <w:p>
      <w:pPr>
        <w:spacing w:after="200"/>
        <w:jc w:val="center"/>
      </w:pPr>
      <w:r>
        <w:rPr>
          <w:rFonts w:ascii="Times New Roman" w:cs="Times New Roman" w:eastAsia="Times New Roman" w:hAnsi="Times New Roman"/>
          <w:b/>
          <w:bCs/>
          <w:color w:val="CC0000"/>
          <w:sz w:val="22"/>
          <w:szCs w:val="22"/>
        </w:rPr>
        <w:t xml:space="preserve">CONFIDENȚIAL</w:t>
      </w:r>
    </w:p>
    <w:p>
      <w:r>
        <w:br w:type="page"/>
      </w:r>
    </w:p>
    <w:p>
      <w:pPr>
        <w:spacing w:before="360" w:after="160"/>
        <w:jc w:val="left"/>
      </w:pPr>
      <w:r>
        <w:rPr>
          <w:rFonts w:ascii="Times New Roman" w:cs="Times New Roman" w:eastAsia="Times New Roman" w:hAnsi="Times New Roman"/>
          <w:b/>
          <w:bCs/>
          <w:color w:val="1B2A4A"/>
          <w:sz w:val="32"/>
          <w:szCs w:val="32"/>
        </w:rPr>
        <w:t xml:space="preserve">SINTEZĂ GENERALĂ</w:t>
      </w:r>
    </w:p>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Documentația NIHA cuprinde 29 de documente profesionale care acoperă întregul ciclu de viață al platformei de tranzacționare carbon, de la înființarea companiei până la raportarea periodică. Fiecare document are un rol precis, un moment de declanșare în fluxul operațional și o audiență specifică.</w:t>
      </w:r>
    </w:p>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Documentele sunt organizate în 8 faze care urmează parcursul natural al unui client pe platformă, de la pre-contact până la tranzacționare activă și monitorizare continuă. Cele 3 documente contractuale principale (NDA, MSA, Custody Agreement) au fost reconstruite integral și constituie coloana vertebrală a relației juridice cu clientul.</w:t>
      </w:r>
    </w:p>
    <w:p>
      <w:pPr>
        <w:spacing w:before="240" w:after="160"/>
        <w:jc w:val="left"/>
      </w:pPr>
      <w:r>
        <w:rPr>
          <w:rFonts w:ascii="Times New Roman" w:cs="Times New Roman" w:eastAsia="Times New Roman" w:hAnsi="Times New Roman"/>
          <w:b/>
          <w:bCs/>
          <w:color w:val="2E75B6"/>
          <w:sz w:val="26"/>
          <w:szCs w:val="26"/>
        </w:rPr>
        <w:t xml:space="preserve">Structura User Journey pe Platformă</w:t>
      </w:r>
    </w:p>
    <w:p>
      <w:pPr>
        <w:spacing w:after="120" w:before="0" w:line="276"/>
        <w:jc w:val="center"/>
      </w:pPr>
      <w:r>
        <w:rPr>
          <w:rFonts w:ascii="Times New Roman" w:cs="Times New Roman" w:eastAsia="Times New Roman" w:hAnsi="Times New Roman"/>
          <w:b/>
          <w:bCs/>
          <w:i w:val="false"/>
          <w:iCs w:val="false"/>
          <w:color w:val="2E75B6"/>
          <w:sz w:val="20"/>
          <w:szCs w:val="20"/>
        </w:rPr>
        <w:t xml:space="preserve">PRE_NDA</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NDA</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KYC</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APPROVED</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FUNDING</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AML</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CEA</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CEA_SETTLE</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SWAP</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EUA_SETTLE</w:t>
      </w:r>
      <w:r>
        <w:rPr>
          <w:rFonts w:ascii="Times New Roman" w:cs="Times New Roman" w:eastAsia="Times New Roman" w:hAnsi="Times New Roman"/>
          <w:b w:val="false"/>
          <w:bCs w:val="false"/>
          <w:i w:val="false"/>
          <w:iCs w:val="false"/>
          <w:color w:val="333333"/>
          <w:sz w:val="20"/>
          <w:szCs w:val="20"/>
        </w:rPr>
        <w:t xml:space="preserve"> → </w:t>
      </w:r>
      <w:r>
        <w:rPr>
          <w:rFonts w:ascii="Times New Roman" w:cs="Times New Roman" w:eastAsia="Times New Roman" w:hAnsi="Times New Roman"/>
          <w:b/>
          <w:bCs/>
          <w:i w:val="false"/>
          <w:iCs w:val="false"/>
          <w:color w:val="2E75B6"/>
          <w:sz w:val="20"/>
          <w:szCs w:val="20"/>
        </w:rPr>
        <w:t xml:space="preserve">EUA</w:t>
      </w:r>
    </w:p>
    <w:p>
      <w:r>
        <w:br w:type="page"/>
      </w:r>
    </w:p>
    <w:p>
      <w:pPr>
        <w:spacing w:before="360" w:after="160"/>
        <w:jc w:val="left"/>
      </w:pPr>
      <w:r>
        <w:rPr>
          <w:rFonts w:ascii="Times New Roman" w:cs="Times New Roman" w:eastAsia="Times New Roman" w:hAnsi="Times New Roman"/>
          <w:b/>
          <w:bCs/>
          <w:color w:val="1B2A4A"/>
          <w:sz w:val="32"/>
          <w:szCs w:val="32"/>
        </w:rPr>
        <w:t xml:space="preserve">FAZA 0 — PRE-CONTACT</w:t>
      </w:r>
    </w:p>
    <w:p>
      <w:pPr>
        <w:spacing w:after="160" w:before="0" w:line="276"/>
        <w:jc w:val="both"/>
      </w:pPr>
      <w:r>
        <w:rPr>
          <w:rFonts w:ascii="Times New Roman" w:cs="Times New Roman" w:eastAsia="Times New Roman" w:hAnsi="Times New Roman"/>
          <w:b w:val="false"/>
          <w:bCs w:val="false"/>
          <w:i/>
          <w:iCs/>
          <w:color w:val="2E75B6"/>
          <w:sz w:val="22"/>
          <w:szCs w:val="22"/>
        </w:rPr>
        <w:t xml:space="preserve">Înainte de orice interacțiune cu platforma</w:t>
      </w:r>
    </w:p>
    <w:p>
      <w:pPr>
        <w:spacing w:after="200" w:before="0" w:line="276"/>
        <w:jc w:val="both"/>
      </w:pPr>
      <w:r>
        <w:rPr>
          <w:rFonts w:ascii="Times New Roman" w:cs="Times New Roman" w:eastAsia="Times New Roman" w:hAnsi="Times New Roman"/>
          <w:b w:val="false"/>
          <w:bCs w:val="false"/>
          <w:i w:val="false"/>
          <w:iCs w:val="false"/>
          <w:color w:val="333333"/>
          <w:sz w:val="22"/>
          <w:szCs w:val="22"/>
        </w:rPr>
        <w:t xml:space="preserve">Această fază acoperă documentele interne ale companiei care trebuie să existe înainte ca platforma să înceapă operațiunile. Sunt documente de guvernanță corporativă, conformitate și infrastructură juridică.</w:t>
      </w:r>
    </w:p>
    <w:p>
      <w:pPr>
        <w:spacing w:before="240" w:after="160"/>
        <w:jc w:val="left"/>
      </w:pPr>
      <w:r>
        <w:rPr>
          <w:rFonts w:ascii="Times New Roman" w:cs="Times New Roman" w:eastAsia="Times New Roman" w:hAnsi="Times New Roman"/>
          <w:b/>
          <w:bCs/>
          <w:color w:val="2E75B6"/>
          <w:sz w:val="26"/>
          <w:szCs w:val="26"/>
        </w:rPr>
        <w:t xml:space="preserve">1. Board Resolution — Carbon Trading</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NIHA-BRD-2026-[___]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Autorizează compania (Italy Nihao Group Limited) să desfășoare activități de tranzacționare carbon. Fără această rezoluție, nicio operațiune nu are fundament legal intern.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Precedă orice altceva. Se semnează la nivel de Board of Directors.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Board, management, auditori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2. Compliance Policy Manual</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NIHA-CPM-2026-[___]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Stabilește cadrul intern de conformitate: AML/KYC, sancțiuni, protecția datelor, raportare suspiciuni. Este baza pe care se construiesc toate procedurile operaționale.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Adoptat de Board simultan cu Board Resolution. Se revizuiește anual.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Compliance Officer, toți angajații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3. Legal &amp; Regulatory Framework</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NIHA-LRF-2026-[___]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Documentează cadrul legal în care operează NIHA: legislația aplicabilă din Hong Kong, EU ETS, piața chineză de carbon. Justifică structura de principal counterparty.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Creat la înființare. Actualizat la schimbări legislative.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Legal, Compliance, management</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4. Regulatory Position Memorandum</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NIHA-RPM-2026-[___]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Memorandum juridic care argumentează de ce NIHA poate opera fără licență specifică SFC: tranzacțiile bilaterale cu certificate carbon între părți instituționale nu necesită înregistrare ca dealer OTC.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Creat la înființare. Se actualizează dacă se schimbă reglementările.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Legal, Board; Extern — auditori, consilieri juridici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5. Independent Legal Opinion</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NIHA-ILO-2026-[___]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Opinie juridică independentă care confirmă legalitatea operațiunilor NIHA. Solicitat de bănci, auditori și potențiali parteneri instituționali ca dovadă de conformitate.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Comandat la înființare de la firmă de avocatură externă.</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bănci, auditori, parteneri instituționali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6. Business Continuity Plan</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NIHA-BCP-2026-[___]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Asigură continuitatea operațiunilor în caz de dezastru, atac cibernetic, pierdere personal cheie. Include planuri de recuperare, timpi de răspuns și proceduri de escalare.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Creat la înființare. Testat anual.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management, IT, operațiuni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7. Insurance Certificate (PI &amp; Crime)</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NIHA-INS-2026-[___]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Polița de asigurare Professional Indemnity și Crime. Dovedește că NIHA are acoperire în cazul erorilor profesionale sau fraudei. Cerut de clienți instituționali și parteneri.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Obținut la înființare de la broker de asigurări. Reînnoit anual.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clienți, bănci, parteneri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8. Trade Execution Policy</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NIHA-TEP-2026-[___]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Definește cum execută NIHA tranzacțiile: rolul de principal counterparty, best execution, settlement timelines (T+3, T+5, T+2, T+10), managementul conflictelor de interese.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Creat la înființare. Anexat la MSA ca referință.</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trading desk; Extern — clienți (prin referință în MSA)</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spacing w:before="360" w:after="160"/>
        <w:jc w:val="left"/>
      </w:pPr>
      <w:r>
        <w:rPr>
          <w:rFonts w:ascii="Times New Roman" w:cs="Times New Roman" w:eastAsia="Times New Roman" w:hAnsi="Times New Roman"/>
          <w:b/>
          <w:bCs/>
          <w:color w:val="1B2A4A"/>
          <w:sz w:val="32"/>
          <w:szCs w:val="32"/>
        </w:rPr>
        <w:t xml:space="preserve">FAZA 1 — CONTACT INIȚIAL &amp; NDA</w:t>
      </w:r>
    </w:p>
    <w:p>
      <w:pPr>
        <w:spacing w:after="160" w:before="0" w:line="276"/>
        <w:jc w:val="both"/>
      </w:pPr>
      <w:r>
        <w:rPr>
          <w:rFonts w:ascii="Times New Roman" w:cs="Times New Roman" w:eastAsia="Times New Roman" w:hAnsi="Times New Roman"/>
          <w:b w:val="false"/>
          <w:bCs w:val="false"/>
          <w:i/>
          <w:iCs/>
          <w:color w:val="2E75B6"/>
          <w:sz w:val="22"/>
          <w:szCs w:val="22"/>
        </w:rPr>
        <w:t xml:space="preserve">Primul contact al clientului cu NIHA (PRE_NDA → NDA)</w:t>
      </w:r>
    </w:p>
    <w:p>
      <w:pPr>
        <w:spacing w:after="200" w:before="0" w:line="276"/>
        <w:jc w:val="both"/>
      </w:pPr>
      <w:r>
        <w:rPr>
          <w:rFonts w:ascii="Times New Roman" w:cs="Times New Roman" w:eastAsia="Times New Roman" w:hAnsi="Times New Roman"/>
          <w:b w:val="false"/>
          <w:bCs w:val="false"/>
          <w:i w:val="false"/>
          <w:iCs w:val="false"/>
          <w:color w:val="333333"/>
          <w:sz w:val="22"/>
          <w:szCs w:val="22"/>
        </w:rPr>
        <w:t xml:space="preserve">Clientul fie vine prin referral (Introducer), fie direct. Primul document semnat este NDA-ul. Fără NDA semnat, clientul nu poate avansa.</w:t>
      </w:r>
    </w:p>
    <w:p>
      <w:pPr>
        <w:spacing w:before="240" w:after="160"/>
        <w:jc w:val="left"/>
      </w:pPr>
      <w:r>
        <w:rPr>
          <w:rFonts w:ascii="Times New Roman" w:cs="Times New Roman" w:eastAsia="Times New Roman" w:hAnsi="Times New Roman"/>
          <w:b/>
          <w:bCs/>
          <w:color w:val="2E75B6"/>
          <w:sz w:val="26"/>
          <w:szCs w:val="26"/>
        </w:rPr>
        <w:t xml:space="preserve">9. Non-Disclosure Agreement (NDA v2)</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NIHA-NDA-2026-[___]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Primul document contractual. Protejează informațiile confidențiale ale ambelor părți. Include Non-Circumvention (clientul nu poate ocoli NIHA și accesa direct contrapărțile). Prevalează asupra MSA și Custody Agreement în materie de confidențialitate.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Trimis clientului după validarea codului de acces. PRE_NDA → NDA la upload. Admin acceptă NDA → nda_accepted=true → poate crea user KYC.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(ambele părți semnează)</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spacing w:before="360" w:after="160"/>
        <w:jc w:val="left"/>
      </w:pPr>
      <w:r>
        <w:rPr>
          <w:rFonts w:ascii="Times New Roman" w:cs="Times New Roman" w:eastAsia="Times New Roman" w:hAnsi="Times New Roman"/>
          <w:b/>
          <w:bCs/>
          <w:color w:val="1B2A4A"/>
          <w:sz w:val="32"/>
          <w:szCs w:val="32"/>
        </w:rPr>
        <w:t xml:space="preserve">FAZA 2 — KYC &amp; DUE DILIGENCE</w:t>
      </w:r>
    </w:p>
    <w:p>
      <w:pPr>
        <w:spacing w:after="160" w:before="0" w:line="276"/>
        <w:jc w:val="both"/>
      </w:pPr>
      <w:r>
        <w:rPr>
          <w:rFonts w:ascii="Times New Roman" w:cs="Times New Roman" w:eastAsia="Times New Roman" w:hAnsi="Times New Roman"/>
          <w:b w:val="false"/>
          <w:bCs w:val="false"/>
          <w:i/>
          <w:iCs/>
          <w:color w:val="2E75B6"/>
          <w:sz w:val="22"/>
          <w:szCs w:val="22"/>
        </w:rPr>
        <w:t xml:space="preserve">Verificarea clientului (NDA → KYC → APPROVED)</w:t>
      </w:r>
    </w:p>
    <w:p>
      <w:pPr>
        <w:spacing w:after="200" w:before="0" w:line="276"/>
        <w:jc w:val="both"/>
      </w:pPr>
      <w:r>
        <w:rPr>
          <w:rFonts w:ascii="Times New Roman" w:cs="Times New Roman" w:eastAsia="Times New Roman" w:hAnsi="Times New Roman"/>
          <w:b w:val="false"/>
          <w:bCs w:val="false"/>
          <w:i w:val="false"/>
          <w:iCs w:val="false"/>
          <w:color w:val="333333"/>
          <w:sz w:val="22"/>
          <w:szCs w:val="22"/>
        </w:rPr>
        <w:t xml:space="preserve">După semnarea NDA, clientul trece prin procesul de Know Your Customer. NIHA colectează documente, verifică identitatea, evaluează riscul și decide dacă acceptă clientul.</w:t>
      </w:r>
    </w:p>
    <w:p>
      <w:pPr>
        <w:spacing w:before="240" w:after="160"/>
        <w:jc w:val="left"/>
      </w:pPr>
      <w:r>
        <w:rPr>
          <w:rFonts w:ascii="Times New Roman" w:cs="Times New Roman" w:eastAsia="Times New Roman" w:hAnsi="Times New Roman"/>
          <w:b/>
          <w:bCs/>
          <w:color w:val="2E75B6"/>
          <w:sz w:val="26"/>
          <w:szCs w:val="26"/>
        </w:rPr>
        <w:t xml:space="preserve">10. Client Onboarding KYC Form</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NIHA-KYC-2026-[___]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Formularul complet de onboarding: date companie, beneficiari reali, structura acționariatului, sursa fondurilor, jurisdicție, tip activitate. Baza pentru due diligence.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Completat de client după semnarea NDA. Cerut de platform (role KYC).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completează; Intern — Compliance verifică</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11. Client Due Diligence Report</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NIHA-CDD-2026-[___]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Raportul intern de due diligence completat de Compliance Officer. Documentează verificările efectuate, nivelul de risc, decizia accept/reject.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Completat intern după recepția KYC. Decide tranziția KYC → APPROVED sau KYC → REJECTED.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Compliance Officer, management</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12. Counterparty Risk Assessment</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NIHA-CRA-2026-[___]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Evaluarea detaliată a riscului de contraparte: risc de credit, risc operațional, risc de piață, risc jurisdicțional. Include scoring și limite de expunere.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Completat în paralel cu CDD. Se actualizează trimestrial pentru clienți activi.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Risk Management, Compliance, trading desk</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13. Risk Disclosure Statement</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NIHA-RDS-2026-[___]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Declarația de risc pe care clientul trebuie să o semneze. Explică riscurile tranzacționării carbon: volatilitate preț, risc de lichiditate, risc de reglementare, risc de contraparte. Protejează NIHA juridic.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Semnat de client ca parte a procesului KYC, înainte de APPROVED.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semnează; Intern — dosarul clientului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spacing w:before="360" w:after="160"/>
        <w:jc w:val="left"/>
      </w:pPr>
      <w:r>
        <w:rPr>
          <w:rFonts w:ascii="Times New Roman" w:cs="Times New Roman" w:eastAsia="Times New Roman" w:hAnsi="Times New Roman"/>
          <w:b/>
          <w:bCs/>
          <w:color w:val="1B2A4A"/>
          <w:sz w:val="32"/>
          <w:szCs w:val="32"/>
        </w:rPr>
        <w:t xml:space="preserve">FAZA 3 — CONTRACTE &amp; ONBOARDING COMPLET</w:t>
      </w:r>
    </w:p>
    <w:p>
      <w:pPr>
        <w:spacing w:after="160" w:before="0" w:line="276"/>
        <w:jc w:val="both"/>
      </w:pPr>
      <w:r>
        <w:rPr>
          <w:rFonts w:ascii="Times New Roman" w:cs="Times New Roman" w:eastAsia="Times New Roman" w:hAnsi="Times New Roman"/>
          <w:b w:val="false"/>
          <w:bCs w:val="false"/>
          <w:i/>
          <w:iCs/>
          <w:color w:val="2E75B6"/>
          <w:sz w:val="22"/>
          <w:szCs w:val="22"/>
        </w:rPr>
        <w:t xml:space="preserve">Client aprobat, semnează contractele (APPROVED)</w:t>
      </w:r>
    </w:p>
    <w:p>
      <w:pPr>
        <w:spacing w:after="200" w:before="0" w:line="276"/>
        <w:jc w:val="both"/>
      </w:pPr>
      <w:r>
        <w:rPr>
          <w:rFonts w:ascii="Times New Roman" w:cs="Times New Roman" w:eastAsia="Times New Roman" w:hAnsi="Times New Roman"/>
          <w:b w:val="false"/>
          <w:bCs w:val="false"/>
          <w:i w:val="false"/>
          <w:iCs w:val="false"/>
          <w:color w:val="333333"/>
          <w:sz w:val="22"/>
          <w:szCs w:val="22"/>
        </w:rPr>
        <w:t xml:space="preserve">Clientul aprobat primește și semnează contractele principale. Acestea guvernează întreaga relație comercială.</w:t>
      </w:r>
    </w:p>
    <w:p>
      <w:pPr>
        <w:spacing w:before="240" w:after="160"/>
        <w:jc w:val="left"/>
      </w:pPr>
      <w:r>
        <w:rPr>
          <w:rFonts w:ascii="Times New Roman" w:cs="Times New Roman" w:eastAsia="Times New Roman" w:hAnsi="Times New Roman"/>
          <w:b/>
          <w:bCs/>
          <w:color w:val="2E75B6"/>
          <w:sz w:val="26"/>
          <w:szCs w:val="26"/>
        </w:rPr>
        <w:t xml:space="preserve">14. Master Service Agreement (MSA v2)</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NIHA-MSA-2026-[___]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Contractul principal. Definește: rolul NIHA ca facilitator/principal counterparty, serviciile oferite, fee-urile (1.5% CEA, 2.0% Swap), settlement timelines, limitarea răspunderii, terminare. Prevalează pe service scope/pricing. Include Anti-Bribery și Non-Circumvention.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Semnat de client aprobat (KYC → APPROVED). Activ pe toată durata relației.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(ambele părți semnează)</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15. Custody Agreement (v2)</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NIHA-CCA-2026-[___]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Guvernează custodia certificatelor carbon. Segregarea activelor, proceduri de transfer, reconciliere, drepturi și obligații. Prevalează pe chestiuni de custody/segregation/safekeeping.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Semnat simultan cu MSA. Activ pe toată durata relației.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(ambele părți semnează)</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16. Fee Schedule 2026</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NIHA-FEE-2026-[___]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Anexa detaliată la MSA cu toate fee-urile: 1.5% CEA purchase, 2.0% Swap (plătit în CEA, Math.ceil), custody fee, settlement fee. Cap maxim 25% creștere per revizie.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Anexat la MSA. Se actualizează cu 30 zile notificare.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Intern — trading desk, finance</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17. Carbon Derivatives Master Agreement</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NIHA-DMA-2026-[___]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Cadrul pentru tranzacții derivate pe carbon (dacă se oferă). Definește termenii standard, evenimente de default, close-out netting, calculul compensațiilor.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Semnat doar de clienții care accesează piața de derivate.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Intern — trading desk</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spacing w:before="360" w:after="160"/>
        <w:jc w:val="left"/>
      </w:pPr>
      <w:r>
        <w:rPr>
          <w:rFonts w:ascii="Times New Roman" w:cs="Times New Roman" w:eastAsia="Times New Roman" w:hAnsi="Times New Roman"/>
          <w:b/>
          <w:bCs/>
          <w:color w:val="1B2A4A"/>
          <w:sz w:val="32"/>
          <w:szCs w:val="32"/>
        </w:rPr>
        <w:t xml:space="preserve">FAZA 4 — FUNDING &amp; AML</w:t>
      </w:r>
    </w:p>
    <w:p>
      <w:pPr>
        <w:spacing w:after="160" w:before="0" w:line="276"/>
        <w:jc w:val="both"/>
      </w:pPr>
      <w:r>
        <w:rPr>
          <w:rFonts w:ascii="Times New Roman" w:cs="Times New Roman" w:eastAsia="Times New Roman" w:hAnsi="Times New Roman"/>
          <w:b w:val="false"/>
          <w:bCs w:val="false"/>
          <w:i/>
          <w:iCs/>
          <w:color w:val="2E75B6"/>
          <w:sz w:val="22"/>
          <w:szCs w:val="22"/>
        </w:rPr>
        <w:t xml:space="preserve">Depunere fonduri și verificare AML (APPROVED → FUNDING → AML → CEA)</w:t>
      </w:r>
    </w:p>
    <w:p>
      <w:pPr>
        <w:spacing w:after="200" w:before="0" w:line="276"/>
        <w:jc w:val="both"/>
      </w:pPr>
      <w:r>
        <w:rPr>
          <w:rFonts w:ascii="Times New Roman" w:cs="Times New Roman" w:eastAsia="Times New Roman" w:hAnsi="Times New Roman"/>
          <w:b w:val="false"/>
          <w:bCs w:val="false"/>
          <w:i w:val="false"/>
          <w:iCs w:val="false"/>
          <w:color w:val="333333"/>
          <w:sz w:val="22"/>
          <w:szCs w:val="22"/>
        </w:rPr>
        <w:t xml:space="preserve">Clientul anunță și execută transferul bancar. NIHA verifică fondurile (AML), confirmă și creditează contul.</w:t>
      </w:r>
    </w:p>
    <w:p>
      <w:pPr>
        <w:spacing w:before="240" w:after="160"/>
        <w:jc w:val="left"/>
      </w:pPr>
      <w:r>
        <w:rPr>
          <w:rFonts w:ascii="Times New Roman" w:cs="Times New Roman" w:eastAsia="Times New Roman" w:hAnsi="Times New Roman"/>
          <w:b/>
          <w:bCs/>
          <w:color w:val="2E75B6"/>
          <w:sz w:val="26"/>
          <w:szCs w:val="26"/>
        </w:rPr>
        <w:t xml:space="preserve">18. Bank Confirmation Letters</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NIHA-BCL-2026-[___]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Confirmări bancare: existența contului, balanțe, autorizații de transfer. Folosite pentru verificarea surselor de fonduri și confirmarea depozitelor.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Solicitate la onboarding (verificare sursă fonduri) și la fiecare depozit mare (≥€500K).</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Finance, Compliance; Extern — băncile NIHA</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19. Registry Account Overview</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NIHA-RAO-2026-[___]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Prezintă conturile NIHA în registrele de carbon (EU ETS, China Registry). Demonstrează capacitatea operațională de a deține și transfera certificate.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Creat la înființare. Actualizat la deschiderea de noi conturi registry.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operațiuni, compliance; Extern — auditori, clienți (la cerere)</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spacing w:before="360" w:after="160"/>
        <w:jc w:val="left"/>
      </w:pPr>
      <w:r>
        <w:rPr>
          <w:rFonts w:ascii="Times New Roman" w:cs="Times New Roman" w:eastAsia="Times New Roman" w:hAnsi="Times New Roman"/>
          <w:b/>
          <w:bCs/>
          <w:color w:val="1B2A4A"/>
          <w:sz w:val="32"/>
          <w:szCs w:val="32"/>
        </w:rPr>
        <w:t xml:space="preserve">FAZA 5 — TRANZACȚIONARE ACTIVĂ</w:t>
      </w:r>
    </w:p>
    <w:p>
      <w:pPr>
        <w:spacing w:after="160" w:before="0" w:line="276"/>
        <w:jc w:val="both"/>
      </w:pPr>
      <w:r>
        <w:rPr>
          <w:rFonts w:ascii="Times New Roman" w:cs="Times New Roman" w:eastAsia="Times New Roman" w:hAnsi="Times New Roman"/>
          <w:b w:val="false"/>
          <w:bCs w:val="false"/>
          <w:i/>
          <w:iCs/>
          <w:color w:val="2E75B6"/>
          <w:sz w:val="22"/>
          <w:szCs w:val="22"/>
        </w:rPr>
        <w:t xml:space="preserve">Client finanțat tranzacționează pe Cash Market și Swap (CEA → CEA_SETTLE → SWAP → EUA_SETTLE → EUA)</w:t>
      </w:r>
    </w:p>
    <w:p>
      <w:pPr>
        <w:spacing w:after="200" w:before="0" w:line="276"/>
        <w:jc w:val="both"/>
      </w:pPr>
      <w:r>
        <w:rPr>
          <w:rFonts w:ascii="Times New Roman" w:cs="Times New Roman" w:eastAsia="Times New Roman" w:hAnsi="Times New Roman"/>
          <w:b w:val="false"/>
          <w:bCs w:val="false"/>
          <w:i w:val="false"/>
          <w:iCs w:val="false"/>
          <w:color w:val="333333"/>
          <w:sz w:val="22"/>
          <w:szCs w:val="22"/>
        </w:rPr>
        <w:t xml:space="preserve">Clientul cu fonduri poate cumpăra CEA, poate face swap CEA→EUA și primește EUA. Fiecare tranzacție generează documente.</w:t>
      </w:r>
    </w:p>
    <w:p>
      <w:pPr>
        <w:spacing w:before="240" w:after="160"/>
        <w:jc w:val="left"/>
      </w:pPr>
      <w:r>
        <w:rPr>
          <w:rFonts w:ascii="Times New Roman" w:cs="Times New Roman" w:eastAsia="Times New Roman" w:hAnsi="Times New Roman"/>
          <w:b/>
          <w:bCs/>
          <w:color w:val="2E75B6"/>
          <w:sz w:val="26"/>
          <w:szCs w:val="26"/>
        </w:rPr>
        <w:t xml:space="preserve">20. Trade Confirmations</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NIHA-TCF-2026-[___]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Confirmarea fiecărei tranzacții executate. Generate automat de platformă. Conțin: părțile, tipul certificatului, volum, preț, fee, settlement date, referință.</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Generate automat la fiecare trade executat. CEA cash → CEA_SETTLE.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Intern — back office, finance</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21. Client Transaction Ledger</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NIHA-CTL-2026-[___]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Registrul complet al tranzacțiilor clientului. Cronologic, cu toate operațiunile: depozite, achiziții CEA, swap-uri, transferuri EUA, retrageri.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Disponibil permanent. Se actualizează automat. Export lunar/la cerere.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Intern — finance, audit</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22. Client Portfolio Statement</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NIHA-CPS-2026-[___]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Situația portofoliului clientului la o dată specifică: pozițiile deținute (CEA, EUA, EUR), valoare de piață, performanță.</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Generat lunar automat. Disponibil la cerere.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client; Intern — relationship management</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23. Carbon Credit Inventory Report</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NIHA-INV-2026-[___]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Inventarul total al certificatelor carbon deținute de NIHA (custodiat pentru clienți). Reconciliază pozițiile platformei cu registrele externe.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Generat zilnic automat. Verificat de operations.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operations, compliance, auditori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spacing w:before="360" w:after="160"/>
        <w:jc w:val="left"/>
      </w:pPr>
      <w:r>
        <w:rPr>
          <w:rFonts w:ascii="Times New Roman" w:cs="Times New Roman" w:eastAsia="Times New Roman" w:hAnsi="Times New Roman"/>
          <w:b/>
          <w:bCs/>
          <w:color w:val="1B2A4A"/>
          <w:sz w:val="32"/>
          <w:szCs w:val="32"/>
        </w:rPr>
        <w:t xml:space="preserve">FAZA 6 — MONITORIZARE &amp; RAPORTARE</w:t>
      </w:r>
    </w:p>
    <w:p>
      <w:pPr>
        <w:spacing w:after="160" w:before="0" w:line="276"/>
        <w:jc w:val="both"/>
      </w:pPr>
      <w:r>
        <w:rPr>
          <w:rFonts w:ascii="Times New Roman" w:cs="Times New Roman" w:eastAsia="Times New Roman" w:hAnsi="Times New Roman"/>
          <w:b w:val="false"/>
          <w:bCs w:val="false"/>
          <w:i/>
          <w:iCs/>
          <w:color w:val="2E75B6"/>
          <w:sz w:val="22"/>
          <w:szCs w:val="22"/>
        </w:rPr>
        <w:t xml:space="preserve">Ongoing — pe toată durata operațiunilor</w:t>
      </w:r>
    </w:p>
    <w:p>
      <w:pPr>
        <w:spacing w:after="200" w:before="0" w:line="276"/>
        <w:jc w:val="both"/>
      </w:pPr>
      <w:r>
        <w:rPr>
          <w:rFonts w:ascii="Times New Roman" w:cs="Times New Roman" w:eastAsia="Times New Roman" w:hAnsi="Times New Roman"/>
          <w:b w:val="false"/>
          <w:bCs w:val="false"/>
          <w:i w:val="false"/>
          <w:iCs w:val="false"/>
          <w:color w:val="333333"/>
          <w:sz w:val="22"/>
          <w:szCs w:val="22"/>
        </w:rPr>
        <w:t xml:space="preserve">Documente generate periodic pentru monitorizare, conformitate și raportare internă/externă.</w:t>
      </w:r>
    </w:p>
    <w:p>
      <w:pPr>
        <w:spacing w:before="240" w:after="160"/>
        <w:jc w:val="left"/>
      </w:pPr>
      <w:r>
        <w:rPr>
          <w:rFonts w:ascii="Times New Roman" w:cs="Times New Roman" w:eastAsia="Times New Roman" w:hAnsi="Times New Roman"/>
          <w:b/>
          <w:bCs/>
          <w:color w:val="2E75B6"/>
          <w:sz w:val="26"/>
          <w:szCs w:val="26"/>
        </w:rPr>
        <w:t xml:space="preserve">24. Carbon Market Report Q1 2026</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NIHA-CMR-2026-[___]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Raport de piață trimestrial. Analizează prețuri EUA/CEA, volume, tendințe, factori macro. Distribuit clienților ca valoare adăugată.</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Publicat trimestrial. Generat de Research/Market Analysis.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Extern — clienți, introducers; Intern — management, trading</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25. Annual Compliance Report 2025</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NIHA-ACR-2025-[___]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Raportul anual de conformitate. Rezumă: activitățile AML/KYC, training, incidente, revizuiri de politici, recomandări pentru anul următor.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Publicat anual (Q1 pentru anul precedent).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Board, Compliance; Extern — auditori</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26. Internal Audit Report 2026</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NIHA-IAR-2026-[___]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Raportul de audit intern. Verifică aderența la politici, eficiența controalelor, identifică deficiențe și recomandă acțiuni corective.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Efectuat anual sau la cererea Board-ului.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Board, Compliance, management</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spacing w:before="360" w:after="160"/>
        <w:jc w:val="left"/>
      </w:pPr>
      <w:r>
        <w:rPr>
          <w:rFonts w:ascii="Times New Roman" w:cs="Times New Roman" w:eastAsia="Times New Roman" w:hAnsi="Times New Roman"/>
          <w:b/>
          <w:bCs/>
          <w:color w:val="1B2A4A"/>
          <w:sz w:val="32"/>
          <w:szCs w:val="32"/>
        </w:rPr>
        <w:t xml:space="preserve">FAZA 7 — DOCUMENTE DE REFERINȚĂ</w:t>
      </w:r>
    </w:p>
    <w:p>
      <w:pPr>
        <w:spacing w:after="160" w:before="0" w:line="276"/>
        <w:jc w:val="both"/>
      </w:pPr>
      <w:r>
        <w:rPr>
          <w:rFonts w:ascii="Times New Roman" w:cs="Times New Roman" w:eastAsia="Times New Roman" w:hAnsi="Times New Roman"/>
          <w:b w:val="false"/>
          <w:bCs w:val="false"/>
          <w:i/>
          <w:iCs/>
          <w:color w:val="2E75B6"/>
          <w:sz w:val="22"/>
          <w:szCs w:val="22"/>
        </w:rPr>
        <w:t xml:space="preserve">Folosite transversal, nu aparțin unei faze specifice</w:t>
      </w:r>
    </w:p>
    <w:p>
      <w:pPr>
        <w:spacing w:after="200" w:before="0" w:line="276"/>
        <w:jc w:val="both"/>
      </w:pPr>
      <w:r>
        <w:rPr>
          <w:rFonts w:ascii="Times New Roman" w:cs="Times New Roman" w:eastAsia="Times New Roman" w:hAnsi="Times New Roman"/>
          <w:b w:val="false"/>
          <w:bCs w:val="false"/>
          <w:i w:val="false"/>
          <w:iCs w:val="false"/>
          <w:color w:val="333333"/>
          <w:sz w:val="22"/>
          <w:szCs w:val="22"/>
        </w:rPr>
        <w:t xml:space="preserve">Documente utilitare care servesc ca referință pentru operațiuni, audit și management intern.</w:t>
      </w:r>
    </w:p>
    <w:p>
      <w:pPr>
        <w:spacing w:before="240" w:after="160"/>
        <w:jc w:val="left"/>
      </w:pPr>
      <w:r>
        <w:rPr>
          <w:rFonts w:ascii="Times New Roman" w:cs="Times New Roman" w:eastAsia="Times New Roman" w:hAnsi="Times New Roman"/>
          <w:b/>
          <w:bCs/>
          <w:color w:val="2E75B6"/>
          <w:sz w:val="26"/>
          <w:szCs w:val="26"/>
        </w:rPr>
        <w:t xml:space="preserve">27. Single Source of Truth (SSOT)</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NIHA-SST-2026-[___]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Documentul master intern care centralizează toate regulile de business, fee-uri, timelines, configurații, roluri. Referință obligatorie pentru dezvoltare și operațiuni.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Actualizat la fiecare schimbare de business logic.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development, operations, management</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28. Document Matrix</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NIHA-DMX-2026-[___]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Matricea tuturor documentelor NIHA: status, responsabili, termene, priorități. Tracker-ul central al documentației.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Actualizat continuu la fiecare document nou/modificat.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management, legal, compliance</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pPr>
        <w:spacing w:before="240" w:after="160"/>
        <w:jc w:val="left"/>
      </w:pPr>
      <w:r>
        <w:rPr>
          <w:rFonts w:ascii="Times New Roman" w:cs="Times New Roman" w:eastAsia="Times New Roman" w:hAnsi="Times New Roman"/>
          <w:b/>
          <w:bCs/>
          <w:color w:val="2E75B6"/>
          <w:sz w:val="26"/>
          <w:szCs w:val="26"/>
        </w:rPr>
        <w:t xml:space="preserve">29. Content Inconsistency Report</w:t>
      </w:r>
    </w:p>
    <w:p>
      <w:pPr>
        <w:spacing w:after="80" w:before="0" w:line="276"/>
        <w:jc w:val="both"/>
      </w:pPr>
      <w:r>
        <w:rPr>
          <w:rFonts w:ascii="Times New Roman" w:cs="Times New Roman" w:eastAsia="Times New Roman" w:hAnsi="Times New Roman"/>
          <w:b/>
          <w:bCs/>
          <w:i w:val="false"/>
          <w:iCs w:val="false"/>
          <w:color w:val="666666"/>
          <w:sz w:val="20"/>
          <w:szCs w:val="20"/>
        </w:rPr>
        <w:t xml:space="preserve">Cod: </w:t>
      </w:r>
      <w:r>
        <w:rPr>
          <w:rFonts w:ascii="Times New Roman" w:cs="Times New Roman" w:eastAsia="Times New Roman" w:hAnsi="Times New Roman"/>
          <w:b w:val="false"/>
          <w:bCs w:val="false"/>
          <w:i w:val="false"/>
          <w:iCs w:val="false"/>
          <w:color w:val="333333"/>
          <w:sz w:val="20"/>
          <w:szCs w:val="20"/>
        </w:rPr>
        <w:t xml:space="preserve">NIHA-CIR-2026-[___]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Rol în documentație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Raport de inconsistențe de conținut între documentele platformei (frontend, backend, documente legale). Identifică contradicții care trebuie rezolvate.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Moment de declanșare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Generat la audituri interne sau la cerere.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333333"/>
                <w:sz w:val="20"/>
                <w:szCs w:val="20"/>
              </w:rPr>
              <w:t xml:space="preserve">Audiență</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 — development, legal, compliance</w:t>
            </w:r>
          </w:p>
        </w:tc>
      </w:tr>
    </w:tbl>
    <w:p>
      <w:pPr>
        <w:spacing w:after="120" w:before="0" w:line="276"/>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spacing w:before="360" w:after="160"/>
        <w:jc w:val="left"/>
      </w:pPr>
      <w:r>
        <w:rPr>
          <w:rFonts w:ascii="Times New Roman" w:cs="Times New Roman" w:eastAsia="Times New Roman" w:hAnsi="Times New Roman"/>
          <w:b/>
          <w:bCs/>
          <w:color w:val="1B2A4A"/>
          <w:sz w:val="32"/>
          <w:szCs w:val="32"/>
        </w:rPr>
        <w:t xml:space="preserve">TABEL SINTEZĂ — TOATE DOCUMENTELE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600"/>
        <w:gridCol w:w="1800"/>
        <w:gridCol w:w="17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FFFFFF"/>
                <w:sz w:val="20"/>
                <w:szCs w:val="20"/>
              </w:rPr>
              <w:t xml:space="preserve">Document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FFFFFF"/>
                <w:sz w:val="20"/>
                <w:szCs w:val="20"/>
              </w:rPr>
              <w:t xml:space="preserve">Cod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FFFFFF"/>
                <w:sz w:val="20"/>
                <w:szCs w:val="20"/>
              </w:rPr>
              <w:t xml:space="preserve">Faza</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40"/>
              <w:jc w:val="left"/>
            </w:pPr>
            <w:r>
              <w:rPr>
                <w:rFonts w:ascii="Times New Roman" w:cs="Times New Roman" w:eastAsia="Times New Roman" w:hAnsi="Times New Roman"/>
                <w:b/>
                <w:bCs/>
                <w:i w:val="false"/>
                <w:iCs w:val="false"/>
                <w:color w:val="FFFFFF"/>
                <w:sz w:val="20"/>
                <w:szCs w:val="20"/>
              </w:rPr>
              <w:t xml:space="preserve">Audiență</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Board Resolution — Carbon Trading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NIHA-BRD-2026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Compliance Policy Manual</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NIHA-CPM-2026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F0</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Legal &amp; Regulatory Framework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NIHA-LRF-2026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Regulatory Position Memorandum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NIHA-RPM-2026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F0</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Independent Legal Opinion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NIHA-ILO-2026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6</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Business Continuity Plan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NIHA-BCP-2026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F0</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Insurance Certificate (PI &amp; Crime)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NIHA-INS-2026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8</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Trade Execution Policy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NIHA-TEP-2026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F0</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Non-Disclosure Agreement (NDA v2)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NIHA-NDA-2026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10</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Client Onboarding KYC Form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NIHA-KYC-2026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F2</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Client Due Diligence Report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NIHA-CDD-2026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12</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Counterparty Risk Assessment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NIHA-CRA-2026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F2</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Risk Disclosure Statement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NIHA-RDS-2026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14</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Master Service Agreement (MSA v2)</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NIHA-MSA-2026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F3</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Custody Agreement (v2)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NIHA-CCA-2026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16</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Fee Schedule 2026</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NIHA-FEE-2026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F3</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Carbon Derivatives Master Agreement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NIHA-DMA-2026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18</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Bank Confirmation Letters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NIHA-BCL-2026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F4</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19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Registry Account Overview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NIHA-RAO-2026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20</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Trade Confirmations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NIHA-TCF-2026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F5</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Client Transaction Ledger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NIHA-CTL-2026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22</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Client Portfolio Statement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NIHA-CPS-2026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F5</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Carbon Credit Inventory Report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NIHA-INV-2026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24</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Carbon Market Report Q1 2026</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NIHA-CMR-2026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F6</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Extern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Annual Compliance Report 2025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NIHA-ACR-2025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F6</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26</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Internal Audit Report 2026</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NIHA-IAR-2026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F6</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Single Source of Truth (SSOT)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NIHA-SST-2026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28</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Document Matrix</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NIHA-DMX-2026</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F7</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29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20"/>
                <w:szCs w:val="20"/>
              </w:rPr>
              <w:t xml:space="preserve">Content Inconsistency Report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NIHA-CIR-2026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center"/>
            </w:pPr>
            <w:r>
              <w:rPr>
                <w:rFonts w:ascii="Times New Roman" w:cs="Times New Roman" w:eastAsia="Times New Roman" w:hAnsi="Times New Roman"/>
                <w:b w:val="false"/>
                <w:bCs w:val="false"/>
                <w:i w:val="false"/>
                <w:iCs w:val="false"/>
                <w:color w:val="333333"/>
                <w:sz w:val="20"/>
                <w:szCs w:val="20"/>
              </w:rPr>
              <w:t xml:space="preserve">F7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color w:val="333333"/>
                <w:sz w:val="18"/>
                <w:szCs w:val="18"/>
              </w:rPr>
              <w:t xml:space="preserve">Intern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Times New Roman" w:cs="Times New Roman" w:eastAsia="Times New Roman" w:hAnsi="Times New Roman"/>
        <w:color w:val="666666"/>
        <w:sz w:val="16"/>
        <w:szCs w:val="16"/>
      </w:rPr>
      <w:t xml:space="preserve">Italy Nihao Group Limited | Document Plan | Pagina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color w:val="666666"/>
        <w:sz w:val="16"/>
        <w:szCs w:val="16"/>
      </w:rPr>
      <w:t xml:space="preserve">NIHA-DPL-2026-[___]</w:t>
    </w:r>
    <w:r>
      <w:rPr>
        <w:rFonts w:ascii="Times New Roman" w:cs="Times New Roman" w:eastAsia="Times New Roman" w:hAnsi="Times New Roman"/>
        <w:color w:val="666666"/>
        <w:sz w:val="16"/>
        <w:szCs w:val="16"/>
      </w:rPr>
      <w:t xml:space="preserve">    |    </w:t>
    </w:r>
    <w:r>
      <w:rPr>
        <w:rFonts w:ascii="Times New Roman" w:cs="Times New Roman" w:eastAsia="Times New Roman" w:hAnsi="Times New Roman"/>
        <w:b/>
        <w:bCs/>
        <w:color w:val="CC0000"/>
        <w:sz w:val="16"/>
        <w:szCs w:val="16"/>
      </w:rPr>
      <w:t xml:space="preserve">CONFIDENȚIAL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2026-02-21T07:39:08.989Z</dcterms:created>
  <dcterms:modified xsi:type="dcterms:W3CDTF">2026-02-21T07:39:08.990Z</dcterms:modified>
</cp:coreProperties>
</file>

<file path=docProps/custom.xml><?xml version="1.0" encoding="utf-8"?>
<Properties xmlns="http://schemas.openxmlformats.org/officeDocument/2006/custom-properties" xmlns:vt="http://schemas.openxmlformats.org/officeDocument/2006/docPropsVTypes"/>
</file>