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before="0" w:after="140"/>
        <w:jc w:val="center"/>
      </w:pPr>
      <w:r>
        <w:rPr>
          <w:rFonts w:ascii="Times New Roman" w:cs="Times New Roman" w:eastAsia="Times New Roman" w:hAnsi="Times New Roman"/>
          <w:b/>
          <w:bCs/>
          <w:color w:val="1A5276"/>
          <w:sz w:val="38"/>
          <w:szCs w:val="38"/>
        </w:rPr>
        <w:t xml:space="preserve">MARSH McLENNAN</w:t>
      </w:r>
    </w:p>
    <w:p>
      <w:pPr>
        <w:spacing w:before="0" w:after="140"/>
        <w:jc w:val="center"/>
      </w:pPr>
      <w:r>
        <w:rPr>
          <w:rFonts w:ascii="Times New Roman" w:cs="Times New Roman" w:eastAsia="Times New Roman" w:hAnsi="Times New Roman"/>
          <w:i/>
          <w:iCs/>
          <w:color w:val="666666"/>
          <w:sz w:val="22"/>
          <w:szCs w:val="22"/>
        </w:rPr>
        <w:t xml:space="preserve">Asia Pacific Insurance Brokers</w:t>
      </w:r>
    </w:p>
    <w:p>
      <w:pPr>
        <w:pBdr>
          <w:bottom w:val="single" w:color="2E75B6" w:sz="4" w:space="10"/>
        </w:pBdr>
        <w:spacing w:before="100"/>
        <w:jc w:val="center"/>
      </w:pPr>
      <w:r>
        <w:rPr>
          <w:sz w:val="12"/>
          <w:szCs w:val="12"/>
        </w:rPr>
        <w:t xml:space="preserve"> </w:t>
      </w:r>
    </w:p>
    <w:p>
      <w:pPr>
        <w:spacing w:before="400"/>
      </w:pPr>
    </w:p>
    <w:p>
      <w:pPr>
        <w:spacing w:before="0" w:after="140"/>
        <w:jc w:val="center"/>
      </w:pPr>
      <w:r>
        <w:rPr>
          <w:rFonts w:ascii="Times New Roman" w:cs="Times New Roman" w:eastAsia="Times New Roman" w:hAnsi="Times New Roman"/>
          <w:b/>
          <w:bCs/>
          <w:color w:val="1B2A4A"/>
          <w:sz w:val="32"/>
          <w:szCs w:val="32"/>
        </w:rPr>
        <w:t xml:space="preserve">CERTIFICATE OF INSURANCE</w:t>
      </w:r>
    </w:p>
    <w:p>
      <w:pPr>
        <w:spacing w:before="100" w:after="140"/>
        <w:jc w:val="center"/>
      </w:pPr>
      <w:r>
        <w:rPr>
          <w:rFonts w:ascii="Times New Roman" w:cs="Times New Roman" w:eastAsia="Times New Roman" w:hAnsi="Times New Roman"/>
          <w:color w:val="2E75B6"/>
          <w:sz w:val="24"/>
          <w:szCs w:val="24"/>
        </w:rPr>
        <w:t xml:space="preserve">Professional Indemnity &amp; Crime Insurance</w:t>
      </w:r>
    </w:p>
    <w:p>
      <w:pPr>
        <w:spacing w:before="600"/>
      </w:pPr>
    </w:p>
    <w:tbl>
      <w:tblPr>
        <w:tblW w:type="pct" w:w="65%"/>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Insured</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NIHA Carbon Consultancy Limited</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Certificate Reference</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MHK/PI-CR/2025/NIHA-0847</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Policy Period</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1 July 2025 to 30 June 2026</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Date Issued</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28 June 2025</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Broker</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Marsh (Hong Kong) Limited</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Broker Contact</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David W.K. Lam, Director — Financial Lines</w:t>
            </w:r>
          </w:p>
        </w:tc>
      </w:tr>
    </w:tbl>
    <w:p>
      <w:pPr>
        <w:spacing w:before="600"/>
        <w:jc w:val="center"/>
      </w:pPr>
      <w:r>
        <w:rPr>
          <w:rFonts w:ascii="Times New Roman" w:cs="Times New Roman" w:eastAsia="Times New Roman" w:hAnsi="Times New Roman"/>
          <w:i/>
          <w:iCs/>
          <w:color w:val="666666"/>
          <w:sz w:val="18"/>
          <w:szCs w:val="18"/>
        </w:rPr>
        <w:t xml:space="preserve">This Certificate is issued as evidence of insurance only and confers no rights upon the certificate holder. The insurance afforded is subject to the terms, conditions, and exclusions of the applicable policies.</w:t>
      </w:r>
    </w:p>
    <w:p>
      <w:r>
        <w:br w:type="page"/>
      </w:r>
    </w:p>
    <w:p>
      <w:pPr>
        <w:spacing w:before="400" w:after="200"/>
      </w:pPr>
      <w:r>
        <w:rPr>
          <w:rFonts w:ascii="Times New Roman" w:cs="Times New Roman" w:eastAsia="Times New Roman" w:hAnsi="Times New Roman"/>
          <w:b/>
          <w:bCs/>
          <w:caps/>
          <w:color w:val="1A5276"/>
          <w:sz w:val="26"/>
          <w:szCs w:val="26"/>
        </w:rPr>
        <w:t xml:space="preserve">SECTION 1 — PROFESSIONAL INDEMNITY INSURANCE</w:t>
      </w:r>
    </w:p>
    <w:p>
      <w:pPr>
        <w:spacing w:before="0" w:after="140"/>
      </w:pPr>
      <w:r>
        <w:rPr>
          <w:rFonts w:ascii="Times New Roman" w:cs="Times New Roman" w:eastAsia="Times New Roman" w:hAnsi="Times New Roman"/>
          <w:color w:val="333333"/>
          <w:sz w:val="22"/>
          <w:szCs w:val="22"/>
        </w:rPr>
        <w:t xml:space="preserve">The following is a summary of the Professional Indemnity Insurance policy maintained by the Insured. This Certificate does not amend, extend, or alter the coverage afforded by the policy.</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Policy Number</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QBE-PI-HK-2025-384721</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Insurer</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QBE Insurance (Hong Kong) Limited</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Insurer Financial Rating</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A+ (Superior) — A.M. Best; A+ (Strong) — S&amp;P Global</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Policy Period</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1 July 2025 to 30 June 2026 (both days inclusive)</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Retroactive Date</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1 June 2025 (inception of carbon trading operations)</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Limit of Liability</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5,000,000 any one claim and in the aggregate</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Sub-Limit: Loss of Documents</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500,000 any one claim</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Sub-Limit: Dishonesty of Employees</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1,000,000 any one claim</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Sub-Limit: Defamation / IP</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500,000 any one claim</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Sub-Limit: Court Attendance Costs</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250 per day, max USD 25,000</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Deductible</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25,000 each and every claim</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Premium</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47,500 (fully paid)</w:t>
            </w:r>
          </w:p>
        </w:tc>
      </w:tr>
    </w:tbl>
    <w:p>
      <w:pPr>
        <w:spacing w:before="300"/>
      </w:pPr>
    </w:p>
    <w:p>
      <w:pPr>
        <w:spacing w:before="0" w:after="140"/>
      </w:pPr>
      <w:r>
        <w:rPr>
          <w:rFonts w:ascii="Times New Roman" w:cs="Times New Roman" w:eastAsia="Times New Roman" w:hAnsi="Times New Roman"/>
          <w:b/>
          <w:bCs/>
          <w:color w:val="1A5276"/>
          <w:sz w:val="22"/>
          <w:szCs w:val="22"/>
        </w:rPr>
        <w:t xml:space="preserve">Insuring Clause:</w:t>
      </w:r>
    </w:p>
    <w:p>
      <w:pPr>
        <w:spacing w:before="0" w:after="140"/>
      </w:pPr>
      <w:r>
        <w:rPr>
          <w:rFonts w:ascii="Times New Roman" w:cs="Times New Roman" w:eastAsia="Times New Roman" w:hAnsi="Times New Roman"/>
          <w:color w:val="333333"/>
          <w:sz w:val="22"/>
          <w:szCs w:val="22"/>
        </w:rPr>
        <w:t xml:space="preserve">The Insurer agrees to indemnify the Insured against any civil liability arising from any claim or claims first made against the Insured during the Policy Period by reason of any negligent act, error, or omission committed or alleged to have been committed by the Insured or any employee of the Insured in the conduct of the Insured's professional business as a carbon credit consultancy, trading intermediary, and custody service provider.</w:t>
      </w:r>
    </w:p>
    <w:p>
      <w:pPr>
        <w:spacing w:before="200" w:after="140"/>
      </w:pPr>
      <w:r>
        <w:rPr>
          <w:rFonts w:ascii="Times New Roman" w:cs="Times New Roman" w:eastAsia="Times New Roman" w:hAnsi="Times New Roman"/>
          <w:b/>
          <w:bCs/>
          <w:color w:val="333333"/>
          <w:sz w:val="22"/>
          <w:szCs w:val="22"/>
        </w:rPr>
        <w:t xml:space="preserve">Coverage extends to:</w:t>
      </w:r>
    </w:p>
    <w:p>
      <w:pPr>
        <w:spacing w:before="0" w:after="140"/>
        <w:ind w:left="360"/>
      </w:pPr>
      <w:r>
        <w:rPr>
          <w:rFonts w:ascii="Times New Roman" w:cs="Times New Roman" w:eastAsia="Times New Roman" w:hAnsi="Times New Roman"/>
          <w:color w:val="333333"/>
          <w:sz w:val="22"/>
          <w:szCs w:val="22"/>
        </w:rPr>
        <w:t xml:space="preserve">(a) Professional services relating to the purchase, sale, conversion, and custody of carbon credits including but not limited to EUA, CEA, VCC, CER, and related environmental instruments;</w:t>
      </w:r>
    </w:p>
    <w:p>
      <w:pPr>
        <w:spacing w:before="0" w:after="140"/>
        <w:ind w:left="360"/>
      </w:pPr>
      <w:r>
        <w:rPr>
          <w:rFonts w:ascii="Times New Roman" w:cs="Times New Roman" w:eastAsia="Times New Roman" w:hAnsi="Times New Roman"/>
          <w:color w:val="333333"/>
          <w:sz w:val="22"/>
          <w:szCs w:val="22"/>
        </w:rPr>
        <w:t xml:space="preserve">(b) Advisory services on carbon market strategy, CBAM compliance, and regulatory positioning;</w:t>
      </w:r>
    </w:p>
    <w:p>
      <w:pPr>
        <w:spacing w:before="0" w:after="140"/>
        <w:ind w:left="360"/>
      </w:pPr>
      <w:r>
        <w:rPr>
          <w:rFonts w:ascii="Times New Roman" w:cs="Times New Roman" w:eastAsia="Times New Roman" w:hAnsi="Times New Roman"/>
          <w:color w:val="333333"/>
          <w:sz w:val="22"/>
          <w:szCs w:val="22"/>
        </w:rPr>
        <w:t xml:space="preserve">(c) Execution of cross-border conversion transactions between EU ETS and China ETS (Shenzhen);</w:t>
      </w:r>
    </w:p>
    <w:p>
      <w:pPr>
        <w:spacing w:before="0" w:after="140"/>
        <w:ind w:left="360"/>
      </w:pPr>
      <w:r>
        <w:rPr>
          <w:rFonts w:ascii="Times New Roman" w:cs="Times New Roman" w:eastAsia="Times New Roman" w:hAnsi="Times New Roman"/>
          <w:color w:val="333333"/>
          <w:sz w:val="22"/>
          <w:szCs w:val="22"/>
        </w:rPr>
        <w:t xml:space="preserve">(d) Trade execution, settlement, and registry transfer services on behalf of clients;</w:t>
      </w:r>
    </w:p>
    <w:p>
      <w:pPr>
        <w:spacing w:before="0" w:after="140"/>
        <w:ind w:left="360"/>
      </w:pPr>
      <w:r>
        <w:rPr>
          <w:rFonts w:ascii="Times New Roman" w:cs="Times New Roman" w:eastAsia="Times New Roman" w:hAnsi="Times New Roman"/>
          <w:color w:val="333333"/>
          <w:sz w:val="22"/>
          <w:szCs w:val="22"/>
        </w:rPr>
        <w:t xml:space="preserve">(e) Client onboarding and due diligence services;</w:t>
      </w:r>
    </w:p>
    <w:p>
      <w:pPr>
        <w:spacing w:before="0" w:after="140"/>
        <w:ind w:left="360"/>
      </w:pPr>
      <w:r>
        <w:rPr>
          <w:rFonts w:ascii="Times New Roman" w:cs="Times New Roman" w:eastAsia="Times New Roman" w:hAnsi="Times New Roman"/>
          <w:color w:val="333333"/>
          <w:sz w:val="22"/>
          <w:szCs w:val="22"/>
        </w:rPr>
        <w:t xml:space="preserve">(f) Market reporting and analysis provided to clients.</w:t>
      </w:r>
    </w:p>
    <w:p>
      <w:pPr>
        <w:spacing w:before="200" w:after="140"/>
      </w:pPr>
      <w:r>
        <w:rPr>
          <w:rFonts w:ascii="Times New Roman" w:cs="Times New Roman" w:eastAsia="Times New Roman" w:hAnsi="Times New Roman"/>
          <w:b/>
          <w:bCs/>
          <w:color w:val="1A5276"/>
          <w:sz w:val="22"/>
          <w:szCs w:val="22"/>
        </w:rPr>
        <w:t xml:space="preserve">Key Exclusions:</w:t>
      </w:r>
    </w:p>
    <w:p>
      <w:pPr>
        <w:spacing w:before="0" w:after="140"/>
        <w:ind w:left="360"/>
      </w:pPr>
      <w:r>
        <w:rPr>
          <w:rFonts w:ascii="Times New Roman" w:cs="Times New Roman" w:eastAsia="Times New Roman" w:hAnsi="Times New Roman"/>
          <w:color w:val="333333"/>
          <w:sz w:val="22"/>
          <w:szCs w:val="22"/>
        </w:rPr>
        <w:t xml:space="preserve">(i) Claims arising from deliberate, dishonest, fraudulent, criminal, or malicious acts (except where coverage applies under the Crime section);</w:t>
      </w:r>
    </w:p>
    <w:p>
      <w:pPr>
        <w:spacing w:before="0" w:after="140"/>
        <w:ind w:left="360"/>
      </w:pPr>
      <w:r>
        <w:rPr>
          <w:rFonts w:ascii="Times New Roman" w:cs="Times New Roman" w:eastAsia="Times New Roman" w:hAnsi="Times New Roman"/>
          <w:color w:val="333333"/>
          <w:sz w:val="22"/>
          <w:szCs w:val="22"/>
        </w:rPr>
        <w:t xml:space="preserve">(ii) Trading losses on proprietary positions;</w:t>
      </w:r>
    </w:p>
    <w:p>
      <w:pPr>
        <w:spacing w:before="0" w:after="140"/>
        <w:ind w:left="360"/>
      </w:pPr>
      <w:r>
        <w:rPr>
          <w:rFonts w:ascii="Times New Roman" w:cs="Times New Roman" w:eastAsia="Times New Roman" w:hAnsi="Times New Roman"/>
          <w:color w:val="333333"/>
          <w:sz w:val="22"/>
          <w:szCs w:val="22"/>
        </w:rPr>
        <w:t xml:space="preserve">(iii) Claims arising from bodily injury or property damage;</w:t>
      </w:r>
    </w:p>
    <w:p>
      <w:pPr>
        <w:spacing w:before="0" w:after="140"/>
        <w:ind w:left="360"/>
      </w:pPr>
      <w:r>
        <w:rPr>
          <w:rFonts w:ascii="Times New Roman" w:cs="Times New Roman" w:eastAsia="Times New Roman" w:hAnsi="Times New Roman"/>
          <w:color w:val="333333"/>
          <w:sz w:val="22"/>
          <w:szCs w:val="22"/>
        </w:rPr>
        <w:t xml:space="preserve">(iv) Liability arising under contract except to the extent such liability would have attached in the absence of the contract;</w:t>
      </w:r>
    </w:p>
    <w:p>
      <w:pPr>
        <w:spacing w:before="0" w:after="140"/>
        <w:ind w:left="360"/>
      </w:pPr>
      <w:r>
        <w:rPr>
          <w:rFonts w:ascii="Times New Roman" w:cs="Times New Roman" w:eastAsia="Times New Roman" w:hAnsi="Times New Roman"/>
          <w:color w:val="333333"/>
          <w:sz w:val="22"/>
          <w:szCs w:val="22"/>
        </w:rPr>
        <w:t xml:space="preserve">(v) Regulatory fines and penalties (except where insurable under Hong Kong law).</w:t>
      </w:r>
    </w:p>
    <w:p>
      <w:r>
        <w:br w:type="page"/>
      </w:r>
    </w:p>
    <w:p>
      <w:pPr>
        <w:spacing w:before="400" w:after="200"/>
      </w:pPr>
      <w:r>
        <w:rPr>
          <w:rFonts w:ascii="Times New Roman" w:cs="Times New Roman" w:eastAsia="Times New Roman" w:hAnsi="Times New Roman"/>
          <w:b/>
          <w:bCs/>
          <w:caps/>
          <w:color w:val="1A5276"/>
          <w:sz w:val="26"/>
          <w:szCs w:val="26"/>
        </w:rPr>
        <w:t xml:space="preserve">SECTION 2 — CRIME INSURANCE (FIDELITY BOND)</w:t>
      </w:r>
    </w:p>
    <w:p>
      <w:pPr>
        <w:spacing w:before="0" w:after="140"/>
      </w:pPr>
      <w:r>
        <w:rPr>
          <w:rFonts w:ascii="Times New Roman" w:cs="Times New Roman" w:eastAsia="Times New Roman" w:hAnsi="Times New Roman"/>
          <w:color w:val="333333"/>
          <w:sz w:val="22"/>
          <w:szCs w:val="22"/>
        </w:rPr>
        <w:t xml:space="preserve">The following is a summary of the Crime Insurance policy maintained by the Insured.</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Policy Number</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AIG-CR-HK-2025-591024</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Insurer</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AIG Insurance Hong Kong Limited</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Insurer Financial Rating</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A (Excellent) — A.M. Best; A+ (Strong) — S&amp;P Global</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Policy Period</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1 July 2025 to 30 June 2026 (both days inclusive)</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Discovery Period</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12 months following expiry (if policy not renewed)</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Limit of Liability</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3,000,000 any one loss and in the aggregate</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Sub-Limit: Computer Crime / Cyber Fraud</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1,000,000</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Sub-Limit: Social Engineering Fraud</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500,000</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Sub-Limit: Impersonation Fraud</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500,000</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Sub-Limit: Extortion</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250,000</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Deductible</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15,000 each and every loss</w:t>
            </w:r>
          </w:p>
        </w:tc>
      </w:tr>
      <w:tr>
        <w:tc>
          <w:tcPr>
            <w:tcW w:type="pct" w:w="35%"/>
            <w:tcBorders>
              <w:top w:val="single" w:color="CCCCCC" w:sz="1"/>
              <w:left w:val="single" w:color="CCCCCC" w:sz="1"/>
              <w:bottom w:val="single" w:color="CCCCCC" w:sz="1"/>
              <w:right w:val="single" w:color="CCCCCC" w:sz="1"/>
            </w:tcBorders>
            <w:shd w:color="EBF5FB" w:val="solid"/>
          </w:tcPr>
          <w:p>
            <w:pPr>
              <w:spacing w:before="60" w:after="60"/>
            </w:pPr>
            <w:r>
              <w:rPr>
                <w:rFonts w:ascii="Times New Roman" w:cs="Times New Roman" w:eastAsia="Times New Roman" w:hAnsi="Times New Roman"/>
                <w:b/>
                <w:bCs/>
                <w:color w:val="1A5276"/>
                <w:sz w:val="20"/>
                <w:szCs w:val="20"/>
              </w:rPr>
              <w:t xml:space="preserve">Premium</w:t>
            </w:r>
          </w:p>
        </w:tc>
        <w:tc>
          <w:tcPr>
            <w:tcW w:type="pct" w:w="65%"/>
            <w:tcBorders>
              <w:top w:val="single" w:color="CCCCCC" w:sz="1"/>
              <w:left w:val="single" w:color="CCCCCC" w:sz="1"/>
              <w:bottom w:val="single" w:color="CCCCCC" w:sz="1"/>
              <w:right w:val="single" w:color="CCCCCC" w:sz="1"/>
            </w:tcBorders>
          </w:tcPr>
          <w:p>
            <w:pPr>
              <w:spacing w:before="60" w:after="60"/>
            </w:pPr>
            <w:r>
              <w:rPr>
                <w:rFonts w:ascii="Times New Roman" w:cs="Times New Roman" w:eastAsia="Times New Roman" w:hAnsi="Times New Roman"/>
                <w:color w:val="333333"/>
                <w:sz w:val="20"/>
                <w:szCs w:val="20"/>
              </w:rPr>
              <w:t xml:space="preserve">USD 28,750 (fully paid)</w:t>
            </w:r>
          </w:p>
        </w:tc>
      </w:tr>
    </w:tbl>
    <w:p>
      <w:pPr>
        <w:spacing w:before="300"/>
      </w:pPr>
    </w:p>
    <w:p>
      <w:pPr>
        <w:spacing w:before="0" w:after="140"/>
      </w:pPr>
      <w:r>
        <w:rPr>
          <w:rFonts w:ascii="Times New Roman" w:cs="Times New Roman" w:eastAsia="Times New Roman" w:hAnsi="Times New Roman"/>
          <w:b/>
          <w:bCs/>
          <w:color w:val="1A5276"/>
          <w:sz w:val="22"/>
          <w:szCs w:val="22"/>
        </w:rPr>
        <w:t xml:space="preserve">Insuring Clauses:</w:t>
      </w:r>
    </w:p>
    <w:p>
      <w:pPr>
        <w:spacing w:before="0" w:after="140"/>
      </w:pPr>
      <w:r>
        <w:rPr>
          <w:rFonts w:ascii="Times New Roman" w:cs="Times New Roman" w:eastAsia="Times New Roman" w:hAnsi="Times New Roman"/>
          <w:color w:val="333333"/>
          <w:sz w:val="22"/>
          <w:szCs w:val="22"/>
        </w:rPr>
        <w:t xml:space="preserve">The Insurer agrees to indemnify the Insured for direct financial loss sustained as a result of:</w:t>
      </w:r>
    </w:p>
    <w:p>
      <w:pPr>
        <w:spacing w:before="0" w:after="140"/>
        <w:ind w:left="360"/>
      </w:pPr>
      <w:r>
        <w:rPr>
          <w:rFonts w:ascii="Times New Roman" w:cs="Times New Roman" w:eastAsia="Times New Roman" w:hAnsi="Times New Roman"/>
          <w:color w:val="333333"/>
          <w:sz w:val="22"/>
          <w:szCs w:val="22"/>
        </w:rPr>
        <w:t xml:space="preserve">Clause 1 — Employee Dishonesty: Loss resulting from dishonest or fraudulent acts committed by any employee of the Insured, acting alone or in collusion with others, with the manifest intent to cause the Insured or its clients to sustain such loss, and to obtain financial benefit for themselves or any other person;</w:t>
      </w:r>
    </w:p>
    <w:p>
      <w:pPr>
        <w:spacing w:before="0" w:after="140"/>
        <w:ind w:left="360"/>
      </w:pPr>
      <w:r>
        <w:rPr>
          <w:rFonts w:ascii="Times New Roman" w:cs="Times New Roman" w:eastAsia="Times New Roman" w:hAnsi="Times New Roman"/>
          <w:color w:val="333333"/>
          <w:sz w:val="22"/>
          <w:szCs w:val="22"/>
        </w:rPr>
        <w:t xml:space="preserve">Clause 2 — Theft of Client Assets: Loss of client funds or carbon credits held in custody by the Insured, resulting from theft, misappropriation, or unauthorised transfer by any person;</w:t>
      </w:r>
    </w:p>
    <w:p>
      <w:pPr>
        <w:spacing w:before="0" w:after="140"/>
        <w:ind w:left="360"/>
      </w:pPr>
      <w:r>
        <w:rPr>
          <w:rFonts w:ascii="Times New Roman" w:cs="Times New Roman" w:eastAsia="Times New Roman" w:hAnsi="Times New Roman"/>
          <w:color w:val="333333"/>
          <w:sz w:val="22"/>
          <w:szCs w:val="22"/>
        </w:rPr>
        <w:t xml:space="preserve">Clause 3 — Computer Crime: Loss resulting from the fraudulent input, modification, or destruction of electronic data or computer programs, or the fraudulent use of any computer system operated by or on behalf of the Insured;</w:t>
      </w:r>
    </w:p>
    <w:p>
      <w:pPr>
        <w:spacing w:before="0" w:after="140"/>
        <w:ind w:left="360"/>
      </w:pPr>
      <w:r>
        <w:rPr>
          <w:rFonts w:ascii="Times New Roman" w:cs="Times New Roman" w:eastAsia="Times New Roman" w:hAnsi="Times New Roman"/>
          <w:color w:val="333333"/>
          <w:sz w:val="22"/>
          <w:szCs w:val="22"/>
        </w:rPr>
        <w:t xml:space="preserve">Clause 4 — Funds Transfer Fraud: Loss resulting from fraudulent electronic, telephonic, or written instructions purporting to have been issued by an authorised representative of the Insured, directing a financial institution to debit the Insured's account and transfer funds to a person not entitled to receive such funds;</w:t>
      </w:r>
    </w:p>
    <w:p>
      <w:pPr>
        <w:spacing w:before="0" w:after="140"/>
        <w:ind w:left="360"/>
      </w:pPr>
      <w:r>
        <w:rPr>
          <w:rFonts w:ascii="Times New Roman" w:cs="Times New Roman" w:eastAsia="Times New Roman" w:hAnsi="Times New Roman"/>
          <w:color w:val="333333"/>
          <w:sz w:val="22"/>
          <w:szCs w:val="22"/>
        </w:rPr>
        <w:t xml:space="preserve">Clause 5 — Social Engineering: Loss resulting from the Insured having, in good faith, transferred funds or carbon credits as a direct result of a fraudulent instruction which purported to come from a client, vendor, or business partner;</w:t>
      </w:r>
    </w:p>
    <w:p>
      <w:pPr>
        <w:spacing w:before="0" w:after="140"/>
        <w:ind w:left="360"/>
      </w:pPr>
      <w:r>
        <w:rPr>
          <w:rFonts w:ascii="Times New Roman" w:cs="Times New Roman" w:eastAsia="Times New Roman" w:hAnsi="Times New Roman"/>
          <w:color w:val="333333"/>
          <w:sz w:val="22"/>
          <w:szCs w:val="22"/>
        </w:rPr>
        <w:t xml:space="preserve">Clause 6 — Premises Coverage: Loss of money, securities, or carbon credit registry access credentials from the Insured's premises by reason of theft, robbery, or burglary.</w:t>
      </w:r>
    </w:p>
    <w:p>
      <w:r>
        <w:br w:type="page"/>
      </w:r>
    </w:p>
    <w:p>
      <w:pPr>
        <w:spacing w:before="400" w:after="200"/>
      </w:pPr>
      <w:r>
        <w:rPr>
          <w:rFonts w:ascii="Times New Roman" w:cs="Times New Roman" w:eastAsia="Times New Roman" w:hAnsi="Times New Roman"/>
          <w:b/>
          <w:bCs/>
          <w:caps/>
          <w:color w:val="1A5276"/>
          <w:sz w:val="26"/>
          <w:szCs w:val="26"/>
        </w:rPr>
        <w:t xml:space="preserve">SECTION 3 — ADDITIONAL INFORMATION</w:t>
      </w:r>
    </w:p>
    <w:p>
      <w:pPr>
        <w:spacing w:before="0" w:after="140"/>
      </w:pPr>
      <w:r>
        <w:rPr>
          <w:rFonts w:ascii="Times New Roman" w:cs="Times New Roman" w:eastAsia="Times New Roman" w:hAnsi="Times New Roman"/>
          <w:b/>
          <w:bCs/>
          <w:color w:val="1A5276"/>
          <w:sz w:val="22"/>
          <w:szCs w:val="22"/>
        </w:rPr>
        <w:t xml:space="preserve">Named Insured and Additional Insured Parties: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Entity</w:t>
            </w:r>
          </w:p>
        </w:tc>
        <w:tc>
          <w:tcPr>
            <w:tcW w:type="pct" w:w="25%"/>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Role</w:t>
            </w:r>
          </w:p>
        </w:tc>
        <w:tc>
          <w:tcPr>
            <w:tcW w:type="pct" w:w="35%"/>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Registration</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NIHA Carbon Consultancy Limited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Named Insured</w:t>
            </w:r>
          </w:p>
        </w:tc>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Hong Kong CR No. 3187452</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NIHA Trading (Shenzhen) Co., Ltd.</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Additional Insured</w:t>
            </w:r>
          </w:p>
        </w:tc>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PRC USCC 91440300MA5FKR7T4X</w:t>
            </w:r>
          </w:p>
        </w:tc>
      </w:tr>
      <w:tr>
        <w:tc>
          <w:tcPr>
            <w:tcW w:type="pct" w:w="40%"/>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Directors and Officers (personal capacity)</w:t>
            </w:r>
          </w:p>
        </w:tc>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Extended Coverage</w:t>
            </w:r>
          </w:p>
        </w:tc>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Per Schedule of Directors attached</w:t>
            </w:r>
          </w:p>
        </w:tc>
      </w:tr>
    </w:tbl>
    <w:p>
      <w:pPr>
        <w:spacing w:before="300"/>
      </w:pPr>
    </w:p>
    <w:p>
      <w:pPr>
        <w:spacing w:before="0" w:after="140"/>
      </w:pPr>
      <w:r>
        <w:rPr>
          <w:rFonts w:ascii="Times New Roman" w:cs="Times New Roman" w:eastAsia="Times New Roman" w:hAnsi="Times New Roman"/>
          <w:b/>
          <w:bCs/>
          <w:color w:val="1A5276"/>
          <w:sz w:val="22"/>
          <w:szCs w:val="22"/>
        </w:rPr>
        <w:t xml:space="preserve">Territorial Scope:</w:t>
      </w:r>
    </w:p>
    <w:p>
      <w:pPr>
        <w:spacing w:before="0" w:after="140"/>
      </w:pPr>
      <w:r>
        <w:rPr>
          <w:rFonts w:ascii="Times New Roman" w:cs="Times New Roman" w:eastAsia="Times New Roman" w:hAnsi="Times New Roman"/>
          <w:color w:val="333333"/>
          <w:sz w:val="22"/>
          <w:szCs w:val="22"/>
        </w:rPr>
        <w:t xml:space="preserve">Both policies provide worldwide coverage (excluding United States and Canada unless specifically endorsed). The policies cover claims brought in any jurisdiction other than the United States and Canada, provided the underlying act or omission occurred in connection with the Insured's business activities.</w:t>
      </w:r>
    </w:p>
    <w:p>
      <w:pPr>
        <w:spacing w:before="200"/>
      </w:pPr>
    </w:p>
    <w:p>
      <w:pPr>
        <w:spacing w:before="0" w:after="140"/>
      </w:pPr>
      <w:r>
        <w:rPr>
          <w:rFonts w:ascii="Times New Roman" w:cs="Times New Roman" w:eastAsia="Times New Roman" w:hAnsi="Times New Roman"/>
          <w:b/>
          <w:bCs/>
          <w:color w:val="1A5276"/>
          <w:sz w:val="22"/>
          <w:szCs w:val="22"/>
        </w:rPr>
        <w:t xml:space="preserve">Applicable Law:</w:t>
      </w:r>
    </w:p>
    <w:p>
      <w:pPr>
        <w:spacing w:before="0" w:after="140"/>
      </w:pPr>
      <w:r>
        <w:rPr>
          <w:rFonts w:ascii="Times New Roman" w:cs="Times New Roman" w:eastAsia="Times New Roman" w:hAnsi="Times New Roman"/>
          <w:color w:val="333333"/>
          <w:sz w:val="22"/>
          <w:szCs w:val="22"/>
        </w:rPr>
        <w:t xml:space="preserve">Both policies are governed by and construed in accordance with the laws of the Hong Kong Special Administrative Region. Any dispute shall be subject to the exclusive jurisdiction of the courts of Hong Kong.</w:t>
      </w:r>
    </w:p>
    <w:p>
      <w:pPr>
        <w:spacing w:before="200"/>
      </w:pPr>
    </w:p>
    <w:p>
      <w:pPr>
        <w:spacing w:before="0" w:after="140"/>
      </w:pPr>
      <w:r>
        <w:rPr>
          <w:rFonts w:ascii="Times New Roman" w:cs="Times New Roman" w:eastAsia="Times New Roman" w:hAnsi="Times New Roman"/>
          <w:b/>
          <w:bCs/>
          <w:color w:val="1A5276"/>
          <w:sz w:val="22"/>
          <w:szCs w:val="22"/>
        </w:rPr>
        <w:t xml:space="preserve">Claims Notification:</w:t>
      </w:r>
    </w:p>
    <w:p>
      <w:pPr>
        <w:spacing w:before="0" w:after="140"/>
      </w:pPr>
      <w:r>
        <w:rPr>
          <w:rFonts w:ascii="Times New Roman" w:cs="Times New Roman" w:eastAsia="Times New Roman" w:hAnsi="Times New Roman"/>
          <w:color w:val="333333"/>
          <w:sz w:val="22"/>
          <w:szCs w:val="22"/>
        </w:rPr>
        <w:t xml:space="preserve">All claims or circumstances that may give rise to a claim must be notified in writing to:</w:t>
      </w:r>
    </w:p>
    <w:p>
      <w:pPr>
        <w:spacing w:before="0" w:after="140"/>
        <w:ind w:left="360"/>
      </w:pPr>
      <w:r>
        <w:rPr>
          <w:rFonts w:ascii="Times New Roman" w:cs="Times New Roman" w:eastAsia="Times New Roman" w:hAnsi="Times New Roman"/>
          <w:b/>
          <w:bCs/>
          <w:color w:val="333333"/>
          <w:sz w:val="22"/>
          <w:szCs w:val="22"/>
        </w:rPr>
        <w:t xml:space="preserve">Marsh (Hong Kong) Limited</w:t>
      </w:r>
    </w:p>
    <w:p>
      <w:pPr>
        <w:spacing w:before="0" w:after="140"/>
        <w:ind w:left="360"/>
      </w:pPr>
      <w:r>
        <w:rPr>
          <w:rFonts w:ascii="Times New Roman" w:cs="Times New Roman" w:eastAsia="Times New Roman" w:hAnsi="Times New Roman"/>
          <w:color w:val="333333"/>
          <w:sz w:val="22"/>
          <w:szCs w:val="22"/>
        </w:rPr>
        <w:t xml:space="preserve">Attn: Claims Department — Financial Lines</w:t>
      </w:r>
    </w:p>
    <w:p>
      <w:pPr>
        <w:spacing w:before="0" w:after="140"/>
        <w:ind w:left="360"/>
      </w:pPr>
      <w:r>
        <w:rPr>
          <w:rFonts w:ascii="Times New Roman" w:cs="Times New Roman" w:eastAsia="Times New Roman" w:hAnsi="Times New Roman"/>
          <w:color w:val="333333"/>
          <w:sz w:val="22"/>
          <w:szCs w:val="22"/>
        </w:rPr>
        <w:t xml:space="preserve">Suite 2801, One Exchange Square, 8 Connaught Place, Central, Hong Kong</w:t>
      </w:r>
    </w:p>
    <w:p>
      <w:pPr>
        <w:spacing w:before="0" w:after="140"/>
        <w:ind w:left="360"/>
      </w:pPr>
      <w:r>
        <w:rPr>
          <w:rFonts w:ascii="Times New Roman" w:cs="Times New Roman" w:eastAsia="Times New Roman" w:hAnsi="Times New Roman"/>
          <w:color w:val="333333"/>
          <w:sz w:val="22"/>
          <w:szCs w:val="22"/>
        </w:rPr>
        <w:t xml:space="preserve">Email: claims.hk@marsh.com</w:t>
      </w:r>
    </w:p>
    <w:p>
      <w:pPr>
        <w:spacing w:before="0" w:after="140"/>
        <w:ind w:left="360"/>
      </w:pPr>
      <w:r>
        <w:rPr>
          <w:rFonts w:ascii="Times New Roman" w:cs="Times New Roman" w:eastAsia="Times New Roman" w:hAnsi="Times New Roman"/>
          <w:color w:val="333333"/>
          <w:sz w:val="22"/>
          <w:szCs w:val="22"/>
        </w:rPr>
        <w:t xml:space="preserve">Telephone: +852 2301 7800</w:t>
      </w:r>
    </w:p>
    <w:p>
      <w:r>
        <w:br w:type="page"/>
      </w:r>
    </w:p>
    <w:p>
      <w:pPr>
        <w:spacing w:before="400" w:after="200"/>
      </w:pPr>
      <w:r>
        <w:rPr>
          <w:rFonts w:ascii="Times New Roman" w:cs="Times New Roman" w:eastAsia="Times New Roman" w:hAnsi="Times New Roman"/>
          <w:b/>
          <w:bCs/>
          <w:caps/>
          <w:color w:val="1A5276"/>
          <w:sz w:val="26"/>
          <w:szCs w:val="26"/>
        </w:rPr>
        <w:t xml:space="preserve">SECTION 4 — CLAIMS HISTORY</w:t>
      </w:r>
    </w:p>
    <w:p>
      <w:pPr>
        <w:spacing w:before="0" w:after="140"/>
      </w:pPr>
      <w:r>
        <w:rPr>
          <w:rFonts w:ascii="Times New Roman" w:cs="Times New Roman" w:eastAsia="Times New Roman" w:hAnsi="Times New Roman"/>
          <w:color w:val="333333"/>
          <w:sz w:val="22"/>
          <w:szCs w:val="22"/>
        </w:rPr>
        <w:t xml:space="preserve">For the period from inception of policies (1 July 2025) to the date of this Certificate (20 February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Policy</w:t>
            </w:r>
          </w:p>
        </w:tc>
        <w:tc>
          <w:tcPr>
            <w:tcW w:type="pct" w:w="20%"/>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Claims Notified</w:t>
            </w:r>
          </w:p>
        </w:tc>
        <w:tc>
          <w:tcPr>
            <w:tcW w:type="pct" w:w="20%"/>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Claims Paid</w:t>
            </w:r>
          </w:p>
        </w:tc>
        <w:tc>
          <w:tcPr>
            <w:tcW w:type="pct" w:w="20%"/>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Claims Outstanding</w:t>
            </w:r>
          </w:p>
        </w:tc>
        <w:tc>
          <w:tcPr>
            <w:tcW w:type="pct" w:w="15%"/>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Status</w:t>
            </w:r>
          </w:p>
        </w:tc>
      </w:tr>
      <w:tr>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Professional Indemnity</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0</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USD 0</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USD 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7AE60"/>
                <w:sz w:val="18"/>
                <w:szCs w:val="18"/>
              </w:rPr>
              <w:t xml:space="preserve">Clean</w:t>
            </w:r>
          </w:p>
        </w:tc>
      </w:tr>
      <w:tr>
        <w:tc>
          <w:tcPr>
            <w:tcW w:type="pct" w:w="2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333333"/>
                <w:sz w:val="18"/>
                <w:szCs w:val="18"/>
              </w:rPr>
              <w:t xml:space="preserve">Crime Insurance</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0</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USD 0</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USD 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27AE60"/>
                <w:sz w:val="18"/>
                <w:szCs w:val="18"/>
              </w:rPr>
              <w:t xml:space="preserve">Clean</w:t>
            </w:r>
          </w:p>
        </w:tc>
      </w:tr>
    </w:tbl>
    <w:p>
      <w:pPr>
        <w:spacing w:before="200" w:after="140"/>
      </w:pPr>
      <w:r>
        <w:rPr>
          <w:rFonts w:ascii="Times New Roman" w:cs="Times New Roman" w:eastAsia="Times New Roman" w:hAnsi="Times New Roman"/>
          <w:i/>
          <w:iCs/>
          <w:color w:val="333333"/>
          <w:sz w:val="22"/>
          <w:szCs w:val="22"/>
        </w:rPr>
        <w:t xml:space="preserve">The Insured has maintained a clean claims record since inception. No claims, circumstances, or potential claims have been notified under either policy.</w:t>
      </w:r>
    </w:p>
    <w:p>
      <w:pPr>
        <w:spacing w:before="300"/>
      </w:pPr>
    </w:p>
    <w:p>
      <w:pPr>
        <w:spacing w:before="400" w:after="200"/>
      </w:pPr>
      <w:r>
        <w:rPr>
          <w:rFonts w:ascii="Times New Roman" w:cs="Times New Roman" w:eastAsia="Times New Roman" w:hAnsi="Times New Roman"/>
          <w:b/>
          <w:bCs/>
          <w:caps/>
          <w:color w:val="1A5276"/>
          <w:sz w:val="26"/>
          <w:szCs w:val="26"/>
        </w:rPr>
        <w:t xml:space="preserve">SECTION 5 — PREMIUM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5%"/>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Policy</w:t>
            </w:r>
          </w:p>
        </w:tc>
        <w:tc>
          <w:tcPr>
            <w:tcW w:type="pct" w:w="20%"/>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Annual Premium</w:t>
            </w:r>
          </w:p>
        </w:tc>
        <w:tc>
          <w:tcPr>
            <w:tcW w:type="pct" w:w="15%"/>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IPT / Levy</w:t>
            </w:r>
          </w:p>
        </w:tc>
        <w:tc>
          <w:tcPr>
            <w:tcW w:type="pct" w:w="15%"/>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Broker Fee</w:t>
            </w:r>
          </w:p>
        </w:tc>
        <w:tc>
          <w:tcPr>
            <w:tcW w:type="pct" w:w="15%"/>
            <w:tcBorders>
              <w:top w:val="single" w:color="CCCCCC" w:sz="1"/>
              <w:left w:val="single" w:color="CCCCCC" w:sz="1"/>
              <w:bottom w:val="single" w:color="CCCCCC" w:sz="1"/>
              <w:right w:val="single" w:color="CCCCCC" w:sz="1"/>
            </w:tcBorders>
            <w:shd w:color="1A5276" w:val="solid"/>
          </w:tcPr>
          <w:p>
            <w:pPr>
              <w:spacing w:before="60" w:after="60"/>
              <w:jc w:val="center"/>
            </w:pPr>
            <w:r>
              <w:rPr>
                <w:rFonts w:ascii="Times New Roman" w:cs="Times New Roman" w:eastAsia="Times New Roman" w:hAnsi="Times New Roman"/>
                <w:b/>
                <w:bCs/>
                <w:color w:val="FFFFFF"/>
                <w:sz w:val="18"/>
                <w:szCs w:val="18"/>
              </w:rPr>
              <w:t xml:space="preserve">Total Cost</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Professional Indemnity (QBE)</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USD 47,500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USD 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USD 4,750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USD 52,250</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color w:val="333333"/>
                <w:sz w:val="18"/>
                <w:szCs w:val="18"/>
              </w:rPr>
              <w:t xml:space="preserve">Crime Insurance (AIG)</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USD 28,750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USD 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color w:val="333333"/>
                <w:sz w:val="18"/>
                <w:szCs w:val="18"/>
              </w:rPr>
              <w:t xml:space="preserve">USD 2,875</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USD 31,625</w:t>
            </w:r>
          </w:p>
        </w:tc>
      </w:tr>
      <w:tr>
        <w:tc>
          <w:tcPr>
            <w:tcW w:type="pct" w:w="35%"/>
            <w:tcBorders>
              <w:top w:val="single" w:color="CCCCCC" w:sz="1"/>
              <w:left w:val="single" w:color="CCCCCC" w:sz="1"/>
              <w:bottom w:val="single" w:color="CCCCCC" w:sz="1"/>
              <w:right w:val="single" w:color="CCCCCC" w:sz="1"/>
            </w:tcBorders>
          </w:tcPr>
          <w:p>
            <w:pPr>
              <w:spacing w:before="50" w:after="50"/>
              <w:jc w:val="left"/>
            </w:pPr>
            <w:r>
              <w:rPr>
                <w:rFonts w:ascii="Times New Roman" w:cs="Times New Roman" w:eastAsia="Times New Roman" w:hAnsi="Times New Roman"/>
                <w:b/>
                <w:bCs/>
                <w:color w:val="1A5276"/>
                <w:sz w:val="18"/>
                <w:szCs w:val="18"/>
              </w:rPr>
              <w:t xml:space="preserve">TOTAL</w:t>
            </w:r>
          </w:p>
        </w:tc>
        <w:tc>
          <w:tcPr>
            <w:tcW w:type="pct" w:w="20%"/>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USD 76,250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USD 0</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333333"/>
                <w:sz w:val="18"/>
                <w:szCs w:val="18"/>
              </w:rPr>
              <w:t xml:space="preserve">USD 7,625</w:t>
            </w:r>
          </w:p>
        </w:tc>
        <w:tc>
          <w:tcPr>
            <w:tcW w:type="pct" w:w="15%"/>
            <w:tcBorders>
              <w:top w:val="single" w:color="CCCCCC" w:sz="1"/>
              <w:left w:val="single" w:color="CCCCCC" w:sz="1"/>
              <w:bottom w:val="single" w:color="CCCCCC" w:sz="1"/>
              <w:right w:val="single" w:color="CCCCCC" w:sz="1"/>
            </w:tcBorders>
          </w:tcPr>
          <w:p>
            <w:pPr>
              <w:spacing w:before="50" w:after="50"/>
              <w:jc w:val="center"/>
            </w:pPr>
            <w:r>
              <w:rPr>
                <w:rFonts w:ascii="Times New Roman" w:cs="Times New Roman" w:eastAsia="Times New Roman" w:hAnsi="Times New Roman"/>
                <w:b/>
                <w:bCs/>
                <w:color w:val="1A5276"/>
                <w:sz w:val="18"/>
                <w:szCs w:val="18"/>
              </w:rPr>
              <w:t xml:space="preserve">USD 83,875</w:t>
            </w:r>
          </w:p>
        </w:tc>
      </w:tr>
    </w:tbl>
    <w:p>
      <w:pPr>
        <w:spacing w:before="100" w:after="140"/>
      </w:pPr>
      <w:r>
        <w:rPr>
          <w:rFonts w:ascii="Times New Roman" w:cs="Times New Roman" w:eastAsia="Times New Roman" w:hAnsi="Times New Roman"/>
          <w:i/>
          <w:iCs/>
          <w:color w:val="666666"/>
          <w:sz w:val="18"/>
          <w:szCs w:val="18"/>
        </w:rPr>
        <w:t xml:space="preserve">Note: Hong Kong does not currently levy Insurance Premium Tax on general insurance policies.</w:t>
      </w:r>
    </w:p>
    <w:p>
      <w:r>
        <w:br w:type="page"/>
      </w:r>
    </w:p>
    <w:p>
      <w:pPr>
        <w:spacing w:before="400" w:after="200"/>
      </w:pPr>
      <w:r>
        <w:rPr>
          <w:rFonts w:ascii="Times New Roman" w:cs="Times New Roman" w:eastAsia="Times New Roman" w:hAnsi="Times New Roman"/>
          <w:b/>
          <w:bCs/>
          <w:caps/>
          <w:color w:val="1A5276"/>
          <w:sz w:val="26"/>
          <w:szCs w:val="26"/>
        </w:rPr>
        <w:t xml:space="preserve">CERTIFICATION</w:t>
      </w:r>
    </w:p>
    <w:p>
      <w:pPr>
        <w:pBdr>
          <w:top w:val="single" w:color="1A5276" w:sz="2" w:space="10"/>
          <w:bottom w:val="single" w:color="1A5276" w:sz="2" w:space="10"/>
        </w:pBdr>
        <w:spacing w:before="200"/>
        <w:jc w:val="center"/>
      </w:pPr>
    </w:p>
    <w:p>
      <w:pPr>
        <w:spacing w:before="300"/>
      </w:pPr>
    </w:p>
    <w:p>
      <w:pPr>
        <w:spacing w:before="0" w:after="140"/>
      </w:pPr>
      <w:r>
        <w:rPr>
          <w:rFonts w:ascii="Times New Roman" w:cs="Times New Roman" w:eastAsia="Times New Roman" w:hAnsi="Times New Roman"/>
          <w:color w:val="333333"/>
          <w:sz w:val="22"/>
          <w:szCs w:val="22"/>
        </w:rPr>
        <w:t xml:space="preserve">This is to certify that the policies of insurance described herein have been issued to the Insured named above for the policy period indicated.</w:t>
      </w:r>
    </w:p>
    <w:p>
      <w:pPr>
        <w:spacing w:before="0" w:after="140"/>
      </w:pPr>
      <w:r>
        <w:rPr>
          <w:rFonts w:ascii="Times New Roman" w:cs="Times New Roman" w:eastAsia="Times New Roman" w:hAnsi="Times New Roman"/>
          <w:color w:val="333333"/>
          <w:sz w:val="22"/>
          <w:szCs w:val="22"/>
        </w:rPr>
        <w:t xml:space="preserve">This Certificate is issued as a matter of information only and confers no rights upon the certificate holder. This Certificate does not affirmatively or negatively amend, extend, or alter the coverage afforded by the policies described herein. This Certificate of Insurance does not constitute a contract between the issuing insurer(s), authorised representative or producer, and the certificate holder.</w:t>
      </w:r>
    </w:p>
    <w:p>
      <w:pPr>
        <w:spacing w:before="0" w:after="140"/>
      </w:pPr>
      <w:r>
        <w:rPr>
          <w:rFonts w:ascii="Times New Roman" w:cs="Times New Roman" w:eastAsia="Times New Roman" w:hAnsi="Times New Roman"/>
          <w:color w:val="333333"/>
          <w:sz w:val="22"/>
          <w:szCs w:val="22"/>
        </w:rPr>
        <w:t xml:space="preserve">IMPORTANT: If the certificate holder is an ADDITIONAL INSURED, the policy(ies) must be endorsed. A statement on this certificate does not confer rights to the certificate holder in lieu of such endorsement(s).</w:t>
      </w:r>
    </w:p>
    <w:p>
      <w:pPr>
        <w:spacing w:before="600"/>
      </w:pPr>
    </w:p>
    <w:p>
      <w:pPr>
        <w:spacing w:before="0" w:after="140"/>
      </w:pPr>
      <w:r>
        <w:rPr>
          <w:rFonts w:ascii="Times New Roman" w:cs="Times New Roman" w:eastAsia="Times New Roman" w:hAnsi="Times New Roman"/>
          <w:b/>
          <w:bCs/>
          <w:color w:val="1A5276"/>
          <w:sz w:val="22"/>
          <w:szCs w:val="22"/>
        </w:rPr>
        <w:t xml:space="preserve">Issued by:</w:t>
      </w:r>
    </w:p>
    <w:p>
      <w:pPr>
        <w:spacing w:before="400"/>
      </w:pPr>
    </w:p>
    <w:p>
      <w:pPr>
        <w:spacing w:before="0" w:after="140"/>
        <w:jc w:val="left"/>
      </w:pPr>
      <w:r>
        <w:rPr>
          <w:rFonts w:ascii="Times New Roman" w:cs="Times New Roman" w:eastAsia="Times New Roman" w:hAnsi="Times New Roman"/>
          <w:color w:val="333333"/>
          <w:sz w:val="22"/>
          <w:szCs w:val="22"/>
        </w:rPr>
        <w:t xml:space="preserve">_____________________________</w:t>
      </w:r>
    </w:p>
    <w:p>
      <w:pPr>
        <w:spacing w:before="80" w:after="140"/>
      </w:pPr>
      <w:r>
        <w:rPr>
          <w:rFonts w:ascii="Times New Roman" w:cs="Times New Roman" w:eastAsia="Times New Roman" w:hAnsi="Times New Roman"/>
          <w:b/>
          <w:bCs/>
          <w:color w:val="333333"/>
          <w:sz w:val="22"/>
          <w:szCs w:val="22"/>
        </w:rPr>
        <w:t xml:space="preserve">David W.K. Lam</w:t>
      </w:r>
    </w:p>
    <w:p>
      <w:pPr>
        <w:spacing w:before="0" w:after="140"/>
      </w:pPr>
      <w:r>
        <w:rPr>
          <w:rFonts w:ascii="Times New Roman" w:cs="Times New Roman" w:eastAsia="Times New Roman" w:hAnsi="Times New Roman"/>
          <w:color w:val="666666"/>
          <w:sz w:val="22"/>
          <w:szCs w:val="22"/>
        </w:rPr>
        <w:t xml:space="preserve">Director — Financial Lines</w:t>
      </w:r>
    </w:p>
    <w:p>
      <w:pPr>
        <w:spacing w:before="0" w:after="140"/>
      </w:pPr>
      <w:r>
        <w:rPr>
          <w:rFonts w:ascii="Times New Roman" w:cs="Times New Roman" w:eastAsia="Times New Roman" w:hAnsi="Times New Roman"/>
          <w:color w:val="666666"/>
          <w:sz w:val="22"/>
          <w:szCs w:val="22"/>
        </w:rPr>
        <w:t xml:space="preserve">Marsh (Hong Kong) Limited</w:t>
      </w:r>
    </w:p>
    <w:p>
      <w:pPr>
        <w:spacing w:before="0" w:after="140"/>
      </w:pPr>
      <w:r>
        <w:rPr>
          <w:rFonts w:ascii="Times New Roman" w:cs="Times New Roman" w:eastAsia="Times New Roman" w:hAnsi="Times New Roman"/>
          <w:color w:val="666666"/>
          <w:sz w:val="22"/>
          <w:szCs w:val="22"/>
        </w:rPr>
        <w:t xml:space="preserve">IA Registration No.: FB1045</w:t>
      </w:r>
    </w:p>
    <w:p>
      <w:pPr>
        <w:spacing w:before="100"/>
      </w:pPr>
    </w:p>
    <w:p>
      <w:pPr>
        <w:spacing w:before="0" w:after="140"/>
      </w:pPr>
      <w:r>
        <w:rPr>
          <w:rFonts w:ascii="Times New Roman" w:cs="Times New Roman" w:eastAsia="Times New Roman" w:hAnsi="Times New Roman"/>
          <w:color w:val="333333"/>
          <w:sz w:val="22"/>
          <w:szCs w:val="22"/>
        </w:rPr>
        <w:t xml:space="preserve">Date: 20 February 2026</w:t>
      </w:r>
    </w:p>
    <w:p>
      <w:pPr>
        <w:spacing w:before="600"/>
      </w:pPr>
    </w:p>
    <w:p>
      <w:pPr>
        <w:spacing w:before="0" w:after="140"/>
      </w:pPr>
      <w:r>
        <w:rPr>
          <w:rFonts w:ascii="Times New Roman" w:cs="Times New Roman" w:eastAsia="Times New Roman" w:hAnsi="Times New Roman"/>
          <w:b/>
          <w:bCs/>
          <w:color w:val="1A5276"/>
          <w:sz w:val="22"/>
          <w:szCs w:val="22"/>
        </w:rPr>
        <w:t xml:space="preserve">Authorised Representative:</w:t>
      </w:r>
    </w:p>
    <w:p>
      <w:pPr>
        <w:spacing w:before="400"/>
      </w:pPr>
    </w:p>
    <w:p>
      <w:pPr>
        <w:spacing w:before="0" w:after="140"/>
        <w:jc w:val="left"/>
      </w:pPr>
      <w:r>
        <w:rPr>
          <w:rFonts w:ascii="Times New Roman" w:cs="Times New Roman" w:eastAsia="Times New Roman" w:hAnsi="Times New Roman"/>
          <w:color w:val="333333"/>
          <w:sz w:val="22"/>
          <w:szCs w:val="22"/>
        </w:rPr>
        <w:t xml:space="preserve">_____________________________</w:t>
      </w:r>
    </w:p>
    <w:p>
      <w:pPr>
        <w:spacing w:before="80" w:after="140"/>
      </w:pPr>
      <w:r>
        <w:rPr>
          <w:rFonts w:ascii="Times New Roman" w:cs="Times New Roman" w:eastAsia="Times New Roman" w:hAnsi="Times New Roman"/>
          <w:b/>
          <w:bCs/>
          <w:color w:val="333333"/>
          <w:sz w:val="22"/>
          <w:szCs w:val="22"/>
        </w:rPr>
        <w:t xml:space="preserve">Sarah M.Y. Kwok</w:t>
      </w:r>
    </w:p>
    <w:p>
      <w:pPr>
        <w:spacing w:before="0" w:after="140"/>
      </w:pPr>
      <w:r>
        <w:rPr>
          <w:rFonts w:ascii="Times New Roman" w:cs="Times New Roman" w:eastAsia="Times New Roman" w:hAnsi="Times New Roman"/>
          <w:color w:val="666666"/>
          <w:sz w:val="22"/>
          <w:szCs w:val="22"/>
        </w:rPr>
        <w:t xml:space="preserve">Assistant Vice President — Certificate Unit</w:t>
      </w:r>
    </w:p>
    <w:p>
      <w:pPr>
        <w:spacing w:before="0" w:after="140"/>
      </w:pPr>
      <w:r>
        <w:rPr>
          <w:rFonts w:ascii="Times New Roman" w:cs="Times New Roman" w:eastAsia="Times New Roman" w:hAnsi="Times New Roman"/>
          <w:color w:val="666666"/>
          <w:sz w:val="22"/>
          <w:szCs w:val="22"/>
        </w:rPr>
        <w:t xml:space="preserve">Marsh (Hong Kong) Limited</w:t>
      </w:r>
    </w:p>
    <w:p>
      <w:pPr>
        <w:spacing w:before="500"/>
      </w:pPr>
    </w:p>
    <w:p>
      <w:pPr>
        <w:spacing w:before="0" w:after="140"/>
        <w:jc w:val="center"/>
      </w:pPr>
      <w:r>
        <w:rPr>
          <w:rFonts w:ascii="Times New Roman" w:cs="Times New Roman" w:eastAsia="Times New Roman" w:hAnsi="Times New Roman"/>
          <w:b/>
          <w:bCs/>
          <w:color w:val="1A5276"/>
          <w:sz w:val="24"/>
          <w:szCs w:val="24"/>
        </w:rPr>
        <w:t xml:space="preserve">— END OF CERTIFICATE —</w:t>
      </w:r>
    </w:p>
    <w:p>
      <w:pPr>
        <w:spacing w:before="200"/>
        <w:jc w:val="center"/>
      </w:pPr>
      <w:r>
        <w:rPr>
          <w:rFonts w:ascii="Times New Roman" w:cs="Times New Roman" w:eastAsia="Times New Roman" w:hAnsi="Times New Roman"/>
          <w:color w:val="666666"/>
          <w:sz w:val="16"/>
          <w:szCs w:val="16"/>
        </w:rPr>
        <w:t xml:space="preserve">Marsh (Hong Kong) Limited | Suite 2801, One Exchange Square | 8 Connaught Place, Central, Hong Kong | +852 2301 7800</w:t>
      </w:r>
    </w:p>
    <w:sectPr>
      <w:headerReference w:type="default" r:id="rId6"/>
      <w:footerReference w:type="default" r:id="rId7"/>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00"/>
      <w:jc w:val="center"/>
    </w:pPr>
    <w:r>
      <w:rPr>
        <w:rFonts w:ascii="Times New Roman" w:cs="Times New Roman" w:eastAsia="Times New Roman" w:hAnsi="Times New Roman"/>
        <w:color w:val="666666"/>
        <w:sz w:val="15"/>
        <w:szCs w:val="15"/>
      </w:rPr>
      <w:t xml:space="preserve">Marsh (Hong Kong) Limited  |  Cert Ref: MHK/PI-CR/2025/NIHA-0847  |  Page </w:t>
    </w:r>
    <w:r>
      <w:rPr>
        <w:rFonts w:ascii="Times New Roman" w:cs="Times New Roman" w:eastAsia="Times New Roman" w:hAnsi="Times New Roman"/>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2" w:space="4"/>
      </w:pBdr>
      <w:spacing w:after="80"/>
      <w:jc w:val="left"/>
    </w:pPr>
    <w:r>
      <w:rPr>
        <w:rFonts w:ascii="Times New Roman" w:cs="Times New Roman" w:eastAsia="Times New Roman" w:hAnsi="Times New Roman"/>
        <w:b/>
        <w:bCs/>
        <w:color w:val="1A5276"/>
        <w:sz w:val="16"/>
        <w:szCs w:val="16"/>
      </w:rPr>
      <w:t xml:space="preserve">MARSH McLENNAN — ASIA PACIFIC</w:t>
    </w:r>
    <w:r>
      <w:rPr>
        <w:rFonts w:ascii="Times New Roman" w:cs="Times New Roman" w:eastAsia="Times New Roman" w:hAnsi="Times New Roman"/>
        <w:color w:val="666666"/>
        <w:sz w:val="16"/>
        <w:szCs w:val="16"/>
      </w:rPr>
      <w:t xml:space="preserve">   |   Certificate of Insurance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2026-02-20T12:31:44.104Z</dcterms:created>
  <dcterms:modified xsi:type="dcterms:W3CDTF">2026-02-20T12:31:44.104Z</dcterms:modified>
</cp:coreProperties>
</file>

<file path=docProps/custom.xml><?xml version="1.0" encoding="utf-8"?>
<Properties xmlns="http://schemas.openxmlformats.org/officeDocument/2006/custom-properties" xmlns:vt="http://schemas.openxmlformats.org/officeDocument/2006/docPropsVTypes"/>
</file>