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before="0" w:after="130"/>
        <w:jc w:val="center"/>
      </w:pPr>
      <w:r>
        <w:rPr>
          <w:rFonts w:ascii="Times New Roman" w:cs="Times New Roman" w:eastAsia="Times New Roman" w:hAnsi="Times New Roman"/>
          <w:b/>
          <w:bCs/>
          <w:color w:val="1B2A4A"/>
          <w:sz w:val="36"/>
          <w:szCs w:val="36"/>
        </w:rPr>
        <w:t xml:space="preserve">NIHA CARBON CONSULTANCY LIMITED</w:t>
      </w:r>
    </w:p>
    <w:p>
      <w:pPr>
        <w:pBdr>
          <w:bottom w:val="single" w:color="2E75B6" w:sz="4" w:space="10"/>
        </w:pBdr>
        <w:spacing w:before="100"/>
        <w:jc w:val="center"/>
      </w:pPr>
      <w:r>
        <w:rPr>
          <w:sz w:val="12"/>
          <w:szCs w:val="12"/>
        </w:rPr>
        <w:t xml:space="preserve"> </w:t>
      </w:r>
    </w:p>
    <w:p>
      <w:pPr>
        <w:spacing w:before="400" w:after="130"/>
        <w:jc w:val="center"/>
      </w:pPr>
      <w:r>
        <w:rPr>
          <w:rFonts w:ascii="Times New Roman" w:cs="Times New Roman" w:eastAsia="Times New Roman" w:hAnsi="Times New Roman"/>
          <w:b/>
          <w:bCs/>
          <w:color w:val="2E75B6"/>
          <w:sz w:val="32"/>
          <w:szCs w:val="32"/>
        </w:rPr>
        <w:t xml:space="preserve">INTERNAL AUDIT REPORT</w:t>
      </w:r>
    </w:p>
    <w:p>
      <w:pPr>
        <w:spacing w:before="100" w:after="130"/>
        <w:jc w:val="center"/>
      </w:pPr>
      <w:r>
        <w:rPr>
          <w:rFonts w:ascii="Times New Roman" w:cs="Times New Roman" w:eastAsia="Times New Roman" w:hAnsi="Times New Roman"/>
          <w:color w:val="666666"/>
          <w:sz w:val="22"/>
          <w:szCs w:val="22"/>
        </w:rPr>
        <w:t xml:space="preserve">Carbon Trading Operations Review</w:t>
      </w:r>
    </w:p>
    <w:p>
      <w:pPr>
        <w:spacing w:before="6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Audit Reference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NIHA-IA-2026-001</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Audit Period</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 June 2025 — 31 January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Report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10 February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Classification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CONFIDENTIAL — Board &amp; Management Only</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Overall Opinion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SATISFACTORY with observations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Audit Conducted By</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RSM Hong Kong — Risk Advisory</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Lead Auditor</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Kenneth C.K. Fung, CIA, CISA</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Engagement Partner</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Dr. Grace H.Y. Leung, CPA, FCCA</w:t>
            </w:r>
          </w:p>
        </w:tc>
      </w:tr>
    </w:tbl>
    <w:p>
      <w:r>
        <w:br w:type="page"/>
      </w:r>
    </w:p>
    <w:p>
      <w:pPr>
        <w:spacing w:before="400" w:after="200"/>
      </w:pPr>
      <w:r>
        <w:rPr>
          <w:rFonts w:ascii="Times New Roman" w:cs="Times New Roman" w:eastAsia="Times New Roman" w:hAnsi="Times New Roman"/>
          <w:b/>
          <w:bCs/>
          <w:caps/>
          <w:color w:val="1B2A4A"/>
          <w:sz w:val="26"/>
          <w:szCs w:val="26"/>
        </w:rPr>
        <w:t xml:space="preserve">1. EXECUTIVE SUMMARY</w:t>
      </w:r>
    </w:p>
    <w:p>
      <w:pPr>
        <w:spacing w:before="300" w:after="160"/>
      </w:pPr>
      <w:r>
        <w:rPr>
          <w:rFonts w:ascii="Times New Roman" w:cs="Times New Roman" w:eastAsia="Times New Roman" w:hAnsi="Times New Roman"/>
          <w:b/>
          <w:bCs/>
          <w:color w:val="2E75B6"/>
          <w:sz w:val="23"/>
          <w:szCs w:val="23"/>
        </w:rPr>
        <w:t xml:space="preserve">1.1 Audit Objective</w:t>
      </w:r>
    </w:p>
    <w:p>
      <w:pPr>
        <w:spacing w:before="0" w:after="130"/>
      </w:pPr>
      <w:r>
        <w:rPr>
          <w:rFonts w:ascii="Times New Roman" w:cs="Times New Roman" w:eastAsia="Times New Roman" w:hAnsi="Times New Roman"/>
          <w:color w:val="333333"/>
          <w:sz w:val="22"/>
          <w:szCs w:val="22"/>
        </w:rPr>
        <w:t xml:space="preserve">To provide the Board of Directors with independent assurance on the adequacy and effectiveness of internal controls, risk management processes, and governance arrangements relating to the carbon credit trading operations of NIHA Carbon Consultancy Limited ("the Company").</w:t>
      </w:r>
    </w:p>
    <w:p>
      <w:pPr>
        <w:spacing w:before="300" w:after="160"/>
      </w:pPr>
      <w:r>
        <w:rPr>
          <w:rFonts w:ascii="Times New Roman" w:cs="Times New Roman" w:eastAsia="Times New Roman" w:hAnsi="Times New Roman"/>
          <w:b/>
          <w:bCs/>
          <w:color w:val="2E75B6"/>
          <w:sz w:val="23"/>
          <w:szCs w:val="23"/>
        </w:rPr>
        <w:t xml:space="preserve">1.2 Scope</w:t>
      </w:r>
    </w:p>
    <w:p>
      <w:pPr>
        <w:spacing w:before="0" w:after="130"/>
      </w:pPr>
      <w:r>
        <w:rPr>
          <w:rFonts w:ascii="Times New Roman" w:cs="Times New Roman" w:eastAsia="Times New Roman" w:hAnsi="Times New Roman"/>
          <w:color w:val="333333"/>
          <w:sz w:val="22"/>
          <w:szCs w:val="22"/>
        </w:rPr>
        <w:t xml:space="preserve">The audit covered the following areas for the period 1 June 2025 to 31 January 2026:</w:t>
      </w:r>
    </w:p>
    <w:p>
      <w:pPr>
        <w:spacing w:before="0" w:after="130"/>
        <w:ind w:left="360"/>
      </w:pPr>
      <w:r>
        <w:rPr>
          <w:rFonts w:ascii="Times New Roman" w:cs="Times New Roman" w:eastAsia="Times New Roman" w:hAnsi="Times New Roman"/>
          <w:color w:val="333333"/>
          <w:sz w:val="22"/>
          <w:szCs w:val="22"/>
        </w:rPr>
        <w:t xml:space="preserve">(a) Trade execution and order management processes;</w:t>
      </w:r>
    </w:p>
    <w:p>
      <w:pPr>
        <w:spacing w:before="0" w:after="130"/>
        <w:ind w:left="360"/>
      </w:pPr>
      <w:r>
        <w:rPr>
          <w:rFonts w:ascii="Times New Roman" w:cs="Times New Roman" w:eastAsia="Times New Roman" w:hAnsi="Times New Roman"/>
          <w:color w:val="333333"/>
          <w:sz w:val="22"/>
          <w:szCs w:val="22"/>
        </w:rPr>
        <w:t xml:space="preserve">(b) Settlement and delivery procedures;</w:t>
      </w:r>
    </w:p>
    <w:p>
      <w:pPr>
        <w:spacing w:before="0" w:after="130"/>
        <w:ind w:left="360"/>
      </w:pPr>
      <w:r>
        <w:rPr>
          <w:rFonts w:ascii="Times New Roman" w:cs="Times New Roman" w:eastAsia="Times New Roman" w:hAnsi="Times New Roman"/>
          <w:color w:val="333333"/>
          <w:sz w:val="22"/>
          <w:szCs w:val="22"/>
        </w:rPr>
        <w:t xml:space="preserve">(c) Client asset segregation and custody controls;</w:t>
      </w:r>
    </w:p>
    <w:p>
      <w:pPr>
        <w:spacing w:before="0" w:after="130"/>
        <w:ind w:left="360"/>
      </w:pPr>
      <w:r>
        <w:rPr>
          <w:rFonts w:ascii="Times New Roman" w:cs="Times New Roman" w:eastAsia="Times New Roman" w:hAnsi="Times New Roman"/>
          <w:color w:val="333333"/>
          <w:sz w:val="22"/>
          <w:szCs w:val="22"/>
        </w:rPr>
        <w:t xml:space="preserve">(d) AML/KYC compliance and counterparty due diligence;</w:t>
      </w:r>
    </w:p>
    <w:p>
      <w:pPr>
        <w:spacing w:before="0" w:after="130"/>
        <w:ind w:left="360"/>
      </w:pPr>
      <w:r>
        <w:rPr>
          <w:rFonts w:ascii="Times New Roman" w:cs="Times New Roman" w:eastAsia="Times New Roman" w:hAnsi="Times New Roman"/>
          <w:color w:val="333333"/>
          <w:sz w:val="22"/>
          <w:szCs w:val="22"/>
        </w:rPr>
        <w:t xml:space="preserve">(e) Risk management framework and exposure monitoring;</w:t>
      </w:r>
    </w:p>
    <w:p>
      <w:pPr>
        <w:spacing w:before="0" w:after="130"/>
        <w:ind w:left="360"/>
      </w:pPr>
      <w:r>
        <w:rPr>
          <w:rFonts w:ascii="Times New Roman" w:cs="Times New Roman" w:eastAsia="Times New Roman" w:hAnsi="Times New Roman"/>
          <w:color w:val="333333"/>
          <w:sz w:val="22"/>
          <w:szCs w:val="22"/>
        </w:rPr>
        <w:t xml:space="preserve">(f) IT systems, cybersecurity, and business continuity;</w:t>
      </w:r>
    </w:p>
    <w:p>
      <w:pPr>
        <w:spacing w:before="0" w:after="130"/>
        <w:ind w:left="360"/>
      </w:pPr>
      <w:r>
        <w:rPr>
          <w:rFonts w:ascii="Times New Roman" w:cs="Times New Roman" w:eastAsia="Times New Roman" w:hAnsi="Times New Roman"/>
          <w:color w:val="333333"/>
          <w:sz w:val="22"/>
          <w:szCs w:val="22"/>
        </w:rPr>
        <w:t xml:space="preserve">(g) Financial reporting and management information;</w:t>
      </w:r>
    </w:p>
    <w:p>
      <w:pPr>
        <w:spacing w:before="0" w:after="130"/>
        <w:ind w:left="360"/>
      </w:pPr>
      <w:r>
        <w:rPr>
          <w:rFonts w:ascii="Times New Roman" w:cs="Times New Roman" w:eastAsia="Times New Roman" w:hAnsi="Times New Roman"/>
          <w:color w:val="333333"/>
          <w:sz w:val="22"/>
          <w:szCs w:val="22"/>
        </w:rPr>
        <w:t xml:space="preserve">(h) Regulatory compliance and governance.</w:t>
      </w:r>
    </w:p>
    <w:p>
      <w:pPr>
        <w:spacing w:before="300" w:after="160"/>
      </w:pPr>
      <w:r>
        <w:rPr>
          <w:rFonts w:ascii="Times New Roman" w:cs="Times New Roman" w:eastAsia="Times New Roman" w:hAnsi="Times New Roman"/>
          <w:b/>
          <w:bCs/>
          <w:color w:val="2E75B6"/>
          <w:sz w:val="23"/>
          <w:szCs w:val="23"/>
        </w:rPr>
        <w:t xml:space="preserve">1.3 Overall Opinion</w:t>
      </w:r>
    </w:p>
    <w:p>
      <w:pPr>
        <w:spacing w:before="0" w:after="130"/>
      </w:pPr>
      <w:r>
        <w:rPr>
          <w:rFonts w:ascii="Times New Roman" w:cs="Times New Roman" w:eastAsia="Times New Roman" w:hAnsi="Times New Roman"/>
          <w:b/>
          <w:bCs/>
          <w:color w:val="333333"/>
          <w:sz w:val="22"/>
          <w:szCs w:val="22"/>
        </w:rPr>
        <w:t xml:space="preserve">Based on the work performed, we provide a SATISFACTORY opinion on the internal control environment of the Company's carbon trading operations. The control framework is appropriately designed and, in all material respects, operating effectively. We have identified 3 high-priority and 5 medium-priority observations requiring management attention.</w:t>
      </w:r>
    </w:p>
    <w:p>
      <w:pPr>
        <w:spacing w:before="300" w:after="160"/>
      </w:pPr>
      <w:r>
        <w:rPr>
          <w:rFonts w:ascii="Times New Roman" w:cs="Times New Roman" w:eastAsia="Times New Roman" w:hAnsi="Times New Roman"/>
          <w:b/>
          <w:bCs/>
          <w:color w:val="2E75B6"/>
          <w:sz w:val="23"/>
          <w:szCs w:val="23"/>
        </w:rPr>
        <w:t xml:space="preserve">1.4 Findings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Rating</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Count</w:t>
            </w:r>
          </w:p>
        </w:tc>
        <w:tc>
          <w:tcPr>
            <w:tcW w:type="pct" w:w="6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Description</w:t>
            </w:r>
          </w:p>
        </w:tc>
      </w:tr>
      <w:tr>
        <w:tc>
          <w:tcPr>
            <w:tcW w:type="pct" w:w="2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C0392B"/>
                <w:sz w:val="17"/>
                <w:szCs w:val="17"/>
              </w:rPr>
              <w:t xml:space="preserve">CRITICAL</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333333"/>
                <w:sz w:val="17"/>
                <w:szCs w:val="17"/>
              </w:rPr>
              <w:t xml:space="preserve">0</w:t>
            </w:r>
          </w:p>
        </w:tc>
        <w:tc>
          <w:tcPr>
            <w:tcW w:type="pct" w:w="6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No critical findings identified</w:t>
            </w:r>
          </w:p>
        </w:tc>
      </w:tr>
      <w:tr>
        <w:tc>
          <w:tcPr>
            <w:tcW w:type="pct" w:w="2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E67E22"/>
                <w:sz w:val="17"/>
                <w:szCs w:val="17"/>
              </w:rPr>
              <w:t xml:space="preserve">HIGH</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333333"/>
                <w:sz w:val="17"/>
                <w:szCs w:val="17"/>
              </w:rPr>
              <w:t xml:space="preserve">3</w:t>
            </w:r>
          </w:p>
        </w:tc>
        <w:tc>
          <w:tcPr>
            <w:tcW w:type="pct" w:w="6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Require remediation within 30 days</w:t>
            </w:r>
          </w:p>
        </w:tc>
      </w:tr>
      <w:tr>
        <w:tc>
          <w:tcPr>
            <w:tcW w:type="pct" w:w="2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E75B6"/>
                <w:sz w:val="17"/>
                <w:szCs w:val="17"/>
              </w:rPr>
              <w:t xml:space="preserve">MEDIUM</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333333"/>
                <w:sz w:val="17"/>
                <w:szCs w:val="17"/>
              </w:rPr>
              <w:t xml:space="preserve">5</w:t>
            </w:r>
          </w:p>
        </w:tc>
        <w:tc>
          <w:tcPr>
            <w:tcW w:type="pct" w:w="6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Require remediation within 90 days</w:t>
            </w:r>
          </w:p>
        </w:tc>
      </w:tr>
      <w:tr>
        <w:tc>
          <w:tcPr>
            <w:tcW w:type="pct" w:w="2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LOW</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333333"/>
                <w:sz w:val="17"/>
                <w:szCs w:val="17"/>
              </w:rPr>
              <w:t xml:space="preserve">4</w:t>
            </w:r>
          </w:p>
        </w:tc>
        <w:tc>
          <w:tcPr>
            <w:tcW w:type="pct" w:w="6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Best practice recommendations</w:t>
            </w:r>
          </w:p>
        </w:tc>
      </w:tr>
      <w:tr>
        <w:tc>
          <w:tcPr>
            <w:tcW w:type="pct" w:w="20%"/>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1B2A4A"/>
                <w:sz w:val="17"/>
                <w:szCs w:val="17"/>
              </w:rPr>
              <w:t xml:space="preserve">TOTAL</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1B2A4A"/>
                <w:sz w:val="17"/>
                <w:szCs w:val="17"/>
              </w:rPr>
              <w:t xml:space="preserve">12</w:t>
            </w:r>
          </w:p>
        </w:tc>
        <w:tc>
          <w:tcPr>
            <w:tcW w:type="pct" w:w="65%"/>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
            </w:r>
          </w:p>
        </w:tc>
      </w:tr>
    </w:tbl>
    <w:p>
      <w:r>
        <w:br w:type="page"/>
      </w:r>
    </w:p>
    <w:p>
      <w:pPr>
        <w:spacing w:before="400" w:after="200"/>
      </w:pPr>
      <w:r>
        <w:rPr>
          <w:rFonts w:ascii="Times New Roman" w:cs="Times New Roman" w:eastAsia="Times New Roman" w:hAnsi="Times New Roman"/>
          <w:b/>
          <w:bCs/>
          <w:caps/>
          <w:color w:val="1B2A4A"/>
          <w:sz w:val="26"/>
          <w:szCs w:val="26"/>
        </w:rPr>
        <w:t xml:space="preserve">2. DETAILED FINDINGS</w:t>
      </w:r>
    </w:p>
    <w:p>
      <w:pPr>
        <w:spacing w:before="300" w:after="160"/>
      </w:pPr>
      <w:r>
        <w:rPr>
          <w:rFonts w:ascii="Times New Roman" w:cs="Times New Roman" w:eastAsia="Times New Roman" w:hAnsi="Times New Roman"/>
          <w:b/>
          <w:bCs/>
          <w:color w:val="2E75B6"/>
          <w:sz w:val="23"/>
          <w:szCs w:val="23"/>
        </w:rPr>
        <w:t xml:space="preserve">Finding H1 — Token-Based Authentication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 Security</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HIGH</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Client authentication tokens are stored in browser localStorage, which is vulnerable to cross-site scripting (XSS) attacks. If an attacker executes JavaScript in the context of the trading platform, they could exfiltrate session tokens and impersonate authenticated users.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Impact</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Potential unauthorised access to client accounts and trading functions; estimated impact: USD 500K–2M depending on compromised account.</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Migrate token storage to httpOnly cookies with Secure and SameSite flags. Implement Content Security Policy (CSP) headers. Deploy DOMPurify for user-generated content sanitisation.</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Management Response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Accepted. Migration to httpOnly cookies scheduled for Q2 2026 sprint. CSP headers to be implemented by 28 February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30 April 2026</w:t>
            </w:r>
          </w:p>
        </w:tc>
      </w:tr>
    </w:tbl>
    <w:p>
      <w:pPr>
        <w:spacing w:before="200"/>
      </w:pPr>
    </w:p>
    <w:p>
      <w:pPr>
        <w:spacing w:before="300" w:after="160"/>
      </w:pPr>
      <w:r>
        <w:rPr>
          <w:rFonts w:ascii="Times New Roman" w:cs="Times New Roman" w:eastAsia="Times New Roman" w:hAnsi="Times New Roman"/>
          <w:b/>
          <w:bCs/>
          <w:color w:val="2E75B6"/>
          <w:sz w:val="23"/>
          <w:szCs w:val="23"/>
        </w:rPr>
        <w:t xml:space="preserve">Finding H2 — Settlement TOCTOU Race Condition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Trading Operations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HIGH</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The liquidity preview and execute flow in the trading platform has a time-of-check/time-of-use (TOCTOU) race condition. Between the time a client previews a trade and executes it, market conditions may change, potentially allowing execution at stale prices.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Impact</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Potential financial loss from stale price execution; estimated exposure up to EUR 50K per incident based on observed price volatility windows.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Implement atomic preview-execute with a short-lived price lock (30-second TTL) using Redis. Add server-side price staleness check at execution time.</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Management Response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Accepted. Redis-based price lock implementation in development. Expected deployment: March 2026.</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31 March 2026</w:t>
            </w:r>
          </w:p>
        </w:tc>
      </w:tr>
    </w:tbl>
    <w:p>
      <w:pPr>
        <w:spacing w:before="200"/>
      </w:pPr>
    </w:p>
    <w:p>
      <w:pPr>
        <w:spacing w:before="300" w:after="160"/>
      </w:pPr>
      <w:r>
        <w:rPr>
          <w:rFonts w:ascii="Times New Roman" w:cs="Times New Roman" w:eastAsia="Times New Roman" w:hAnsi="Times New Roman"/>
          <w:b/>
          <w:bCs/>
          <w:color w:val="2E75B6"/>
          <w:sz w:val="23"/>
          <w:szCs w:val="23"/>
        </w:rPr>
        <w:t xml:space="preserve">Finding H3 — N+1 Database Query Pattern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 Performance / Operational Risk</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HIGH</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The asset holders query in the liquidity service makes individual database calls for each holder rather than using a joined query. Under current load (18 counterparties), performance is acceptable. However, as the client base grows, this will cause significant performance degradation and potential system timeouts during peak trading hours.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Impact</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System availability risk during peak trading; potential settlement delays; scalability ceiling at approximately 50 active counterparties.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Refactor to use SQLAlchemy joined eager loading. Implement query result caching with 60-second TTL for non-critical data.</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Management Response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Accepted. Database query refactoring included in Q1 2026 technical debt sprint.</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31 March 2026</w:t>
            </w:r>
          </w:p>
        </w:tc>
      </w:tr>
    </w:tbl>
    <w:p>
      <w:r>
        <w:br w:type="page"/>
      </w:r>
    </w:p>
    <w:p>
      <w:pPr>
        <w:spacing w:before="300" w:after="160"/>
      </w:pPr>
      <w:r>
        <w:rPr>
          <w:rFonts w:ascii="Times New Roman" w:cs="Times New Roman" w:eastAsia="Times New Roman" w:hAnsi="Times New Roman"/>
          <w:b/>
          <w:bCs/>
          <w:color w:val="2E75B6"/>
          <w:sz w:val="23"/>
          <w:szCs w:val="23"/>
        </w:rPr>
        <w:t xml:space="preserve">Finding M1 — UTC Datetime Handling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Data Integrity</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MEDIUM</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Approximately 80 instances of datetime.utcnow in the codebase, which returns naive datetimes without timezone information. This can cause subtle bugs in settlement timing calculations across time zones.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Migrate all instances to datetime.now(timezone.utc). Add linting rule to prevent reintroduction.</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30 June 2026</w:t>
            </w:r>
          </w:p>
        </w:tc>
      </w:tr>
    </w:tbl>
    <w:p>
      <w:pPr>
        <w:spacing w:before="200"/>
      </w:pPr>
    </w:p>
    <w:p>
      <w:pPr>
        <w:spacing w:before="300" w:after="160"/>
      </w:pPr>
      <w:r>
        <w:rPr>
          <w:rFonts w:ascii="Times New Roman" w:cs="Times New Roman" w:eastAsia="Times New Roman" w:hAnsi="Times New Roman"/>
          <w:b/>
          <w:bCs/>
          <w:color w:val="2E75B6"/>
          <w:sz w:val="23"/>
          <w:szCs w:val="23"/>
        </w:rPr>
        <w:t xml:space="preserve">Finding M2 — Dual Approval for High-Value Trades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Trading Controls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MEDIUM</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Trades above EUR 500,000 do not currently require dual approval. While the Counterparty Risk Assessment Framework sets exposure limits, individual high-value trade execution relies on single-trader authorisation.</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Implement mandatory dual approval (4-eyes principle) for trades exceeding EUR 500,000 or 10,000 whole units.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30 April 2026</w:t>
            </w:r>
          </w:p>
        </w:tc>
      </w:tr>
    </w:tbl>
    <w:p>
      <w:pPr>
        <w:spacing w:before="200"/>
      </w:pPr>
    </w:p>
    <w:p>
      <w:pPr>
        <w:spacing w:before="300" w:after="160"/>
      </w:pPr>
      <w:r>
        <w:rPr>
          <w:rFonts w:ascii="Times New Roman" w:cs="Times New Roman" w:eastAsia="Times New Roman" w:hAnsi="Times New Roman"/>
          <w:b/>
          <w:bCs/>
          <w:color w:val="2E75B6"/>
          <w:sz w:val="23"/>
          <w:szCs w:val="23"/>
        </w:rPr>
        <w:t xml:space="preserve">Finding M3 — Backup Registry Access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Business Continuity</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MEDIUM</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The CEEX account backup access procedure documented in the BCP has not been tested. If primary access credentials are compromised, the Company may face delays in accessing Shenzhen registry holdings.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Conduct CEEX backup access test within 30 days. Establish secondary authorised signatory at CEEX.</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31 March 2026</w:t>
            </w:r>
          </w:p>
        </w:tc>
      </w:tr>
    </w:tbl>
    <w:p>
      <w:pPr>
        <w:spacing w:before="200"/>
      </w:pPr>
    </w:p>
    <w:p>
      <w:pPr>
        <w:spacing w:before="300" w:after="160"/>
      </w:pPr>
      <w:r>
        <w:rPr>
          <w:rFonts w:ascii="Times New Roman" w:cs="Times New Roman" w:eastAsia="Times New Roman" w:hAnsi="Times New Roman"/>
          <w:b/>
          <w:bCs/>
          <w:color w:val="2E75B6"/>
          <w:sz w:val="23"/>
          <w:szCs w:val="23"/>
        </w:rPr>
        <w:t xml:space="preserve">Finding M4 — Client SOF Documentation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AML/Compliance</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MEDIUM</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 of 18 active client files (17%) have source-of-funds documentation older than 12 months without scheduled refresh. While initial KYC was thorough, ongoing monitoring should include periodic SOF updates.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Implement 12-month SOF documentation refresh cycle. Add automated reminder in compliance calendar.</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30 April 2026</w:t>
            </w:r>
          </w:p>
        </w:tc>
      </w:tr>
    </w:tbl>
    <w:p>
      <w:pPr>
        <w:spacing w:before="200"/>
      </w:pPr>
    </w:p>
    <w:p>
      <w:pPr>
        <w:spacing w:before="300" w:after="160"/>
      </w:pPr>
      <w:r>
        <w:rPr>
          <w:rFonts w:ascii="Times New Roman" w:cs="Times New Roman" w:eastAsia="Times New Roman" w:hAnsi="Times New Roman"/>
          <w:b/>
          <w:bCs/>
          <w:color w:val="2E75B6"/>
          <w:sz w:val="23"/>
          <w:szCs w:val="23"/>
        </w:rPr>
        <w:t xml:space="preserve">Finding M5 — Reconciliation Automation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Area</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Operations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Risk Rating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MEDIUM</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Finding</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Registry-to-book reconciliation is performed manually via spreadsheet. While reconciliation results show zero discrepancies, the manual process is time-consuming and error-prone as transaction volumes increase.</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Recommendation</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Develop automated reconciliation tool with API integration to EUTL, CEEX, and Core Climate. Target: straight-through reconciliation for 90% of transactions.</w:t>
            </w:r>
          </w:p>
        </w:tc>
      </w:tr>
      <w:tr>
        <w:tc>
          <w:tcPr>
            <w:tcW w:type="pct" w:w="30%"/>
            <w:tcBorders>
              <w:top w:val="single" w:color="CCCCCC" w:sz="1"/>
              <w:left w:val="single" w:color="CCCCCC" w:sz="1"/>
              <w:bottom w:val="single" w:color="CCCCCC" w:sz="1"/>
              <w:right w:val="single" w:color="CCCCCC" w:sz="1"/>
            </w:tcBorders>
            <w:shd w:color="F0F4F8" w:val="solid"/>
          </w:tcPr>
          <w:p>
            <w:pPr>
              <w:spacing w:before="50" w:after="50"/>
            </w:pPr>
            <w:r>
              <w:rPr>
                <w:rFonts w:ascii="Times New Roman" w:cs="Times New Roman" w:eastAsia="Times New Roman" w:hAnsi="Times New Roman"/>
                <w:b/>
                <w:bCs/>
                <w:color w:val="1B2A4A"/>
                <w:sz w:val="20"/>
                <w:szCs w:val="20"/>
              </w:rPr>
              <w:t xml:space="preserve">Target Date</w:t>
            </w:r>
          </w:p>
        </w:tc>
        <w:tc>
          <w:tcPr>
            <w:tcW w:type="pct" w:w="7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30 June 2026</w:t>
            </w:r>
          </w:p>
        </w:tc>
      </w:tr>
    </w:tbl>
    <w:p>
      <w:r>
        <w:br w:type="page"/>
      </w:r>
    </w:p>
    <w:p>
      <w:pPr>
        <w:spacing w:before="400" w:after="200"/>
      </w:pPr>
      <w:r>
        <w:rPr>
          <w:rFonts w:ascii="Times New Roman" w:cs="Times New Roman" w:eastAsia="Times New Roman" w:hAnsi="Times New Roman"/>
          <w:b/>
          <w:bCs/>
          <w:caps/>
          <w:color w:val="1B2A4A"/>
          <w:sz w:val="26"/>
          <w:szCs w:val="26"/>
        </w:rPr>
        <w:t xml:space="preserve">3. CONTROL ENVIRONMENT ASSESSMENT</w:t>
      </w:r>
    </w:p>
    <w:p>
      <w:pPr>
        <w:spacing w:before="0" w:after="130"/>
      </w:pPr>
      <w:r>
        <w:rPr>
          <w:rFonts w:ascii="Times New Roman" w:cs="Times New Roman" w:eastAsia="Times New Roman" w:hAnsi="Times New Roman"/>
          <w:color w:val="333333"/>
          <w:sz w:val="22"/>
          <w:szCs w:val="22"/>
        </w:rPr>
        <w:t xml:space="preserve">The following table summarises the assessed effectiveness of controls across each audit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Control Area</w:t>
            </w:r>
          </w:p>
        </w:tc>
        <w:tc>
          <w:tcPr>
            <w:tcW w:type="pct" w:w="12%"/>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Design</w:t>
            </w:r>
          </w:p>
        </w:tc>
        <w:tc>
          <w:tcPr>
            <w:tcW w:type="pct" w:w="15%"/>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Operating Effectiveness</w:t>
            </w:r>
          </w:p>
        </w:tc>
        <w:tc>
          <w:tcPr>
            <w:tcW w:type="pct" w:w="13%"/>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Overall Rating</w:t>
            </w:r>
          </w:p>
        </w:tc>
        <w:tc>
          <w:tcPr>
            <w:tcW w:type="pct" w:w="30%"/>
            <w:tcBorders>
              <w:top w:val="single" w:color="CCCCCC" w:sz="1"/>
              <w:left w:val="single" w:color="CCCCCC" w:sz="1"/>
              <w:bottom w:val="single" w:color="CCCCCC" w:sz="1"/>
              <w:right w:val="single" w:color="CCCCCC" w:sz="1"/>
            </w:tcBorders>
            <w:shd w:color="1B2A4A" w:val="solid"/>
          </w:tcPr>
          <w:p>
            <w:pPr>
              <w:spacing w:before="50" w:after="50"/>
              <w:jc w:val="center"/>
            </w:pPr>
            <w:r>
              <w:rPr>
                <w:rFonts w:ascii="Times New Roman" w:cs="Times New Roman" w:eastAsia="Times New Roman" w:hAnsi="Times New Roman"/>
                <w:b/>
                <w:bCs/>
                <w:color w:val="FFFFFF"/>
                <w:sz w:val="17"/>
                <w:szCs w:val="17"/>
              </w:rPr>
              <w:t xml:space="preserve">Key Observations</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Trade Execution</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Well-defined execution policy; pre-trade limit checks operational</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Settlement &amp; Delivery</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100% settlement rate; DvP enforced; no fails to date</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Client Asset Segregation</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Segregated accounts confirmed at HSBC, BoC, SC; registry accounts properly ring-fenced</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AML/KYC Compliance</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E67E22"/>
                <w:sz w:val="17"/>
                <w:szCs w:val="17"/>
              </w:rPr>
              <w:t xml:space="preserve">Partially 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E67E22"/>
                <w:sz w:val="17"/>
                <w:szCs w:val="17"/>
              </w:rPr>
              <w:t xml:space="preserve">NEEDS IMPROVEMENT</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Strong initial KYC; SOF refresh cycle needs strengthening (M4)</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Risk Management</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Comprehensive framework; stress testing conducted; dual approval needed (M2)</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IT &amp; Cybersecurity</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E67E22"/>
                <w:sz w:val="17"/>
                <w:szCs w:val="17"/>
              </w:rPr>
              <w:t xml:space="preserve">Partially 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E67E22"/>
                <w:sz w:val="17"/>
                <w:szCs w:val="17"/>
              </w:rPr>
              <w:t xml:space="preserve">Partially 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E67E22"/>
                <w:sz w:val="17"/>
                <w:szCs w:val="17"/>
              </w:rPr>
              <w:t xml:space="preserve">NEEDS IMPROVEMENT</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Token storage vulnerability (H1); TOCTOU race (H2); N+1 query (H3)</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Financial Reporting</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Accurate MTM valuation; fee calculations verified; P&amp;L reporting reliable</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Business Continuity</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E67E22"/>
                <w:sz w:val="17"/>
                <w:szCs w:val="17"/>
              </w:rPr>
              <w:t xml:space="preserve">Partially 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BCP tested; CEEX backup untested (M3); overall adequate</w:t>
            </w:r>
          </w:p>
        </w:tc>
      </w:tr>
      <w:tr>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Governance &amp; Oversight</w:t>
            </w:r>
          </w:p>
        </w:tc>
        <w:tc>
          <w:tcPr>
            <w:tcW w:type="pct" w:w="12%"/>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5%"/>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color w:val="27AE60"/>
                <w:sz w:val="17"/>
                <w:szCs w:val="17"/>
              </w:rPr>
              <w:t xml:space="preserve">Effective</w:t>
            </w:r>
          </w:p>
        </w:tc>
        <w:tc>
          <w:tcPr>
            <w:tcW w:type="pct" w:w="13%"/>
            <w:tcBorders>
              <w:top w:val="single" w:color="CCCCCC" w:sz="1"/>
              <w:left w:val="single" w:color="CCCCCC" w:sz="1"/>
              <w:bottom w:val="single" w:color="CCCCCC" w:sz="1"/>
              <w:right w:val="single" w:color="CCCCCC" w:sz="1"/>
            </w:tcBorders>
          </w:tcPr>
          <w:p>
            <w:pPr>
              <w:spacing w:before="40" w:after="40"/>
              <w:jc w:val="center"/>
            </w:pPr>
            <w:r>
              <w:rPr>
                <w:rFonts w:ascii="Times New Roman" w:cs="Times New Roman" w:eastAsia="Times New Roman" w:hAnsi="Times New Roman"/>
                <w:b/>
                <w:bCs/>
                <w:color w:val="27AE60"/>
                <w:sz w:val="17"/>
                <w:szCs w:val="17"/>
              </w:rPr>
              <w:t xml:space="preserve">SATISFACTORY</w:t>
            </w:r>
          </w:p>
        </w:tc>
        <w:tc>
          <w:tcPr>
            <w:tcW w:type="pct" w:w="30%"/>
            <w:tcBorders>
              <w:top w:val="single" w:color="CCCCCC" w:sz="1"/>
              <w:left w:val="single" w:color="CCCCCC" w:sz="1"/>
              <w:bottom w:val="single" w:color="CCCCCC" w:sz="1"/>
              <w:right w:val="single" w:color="CCCCCC" w:sz="1"/>
            </w:tcBorders>
          </w:tcPr>
          <w:p>
            <w:pPr>
              <w:spacing w:before="40" w:after="40"/>
              <w:jc w:val="left"/>
            </w:pPr>
            <w:r>
              <w:rPr>
                <w:rFonts w:ascii="Times New Roman" w:cs="Times New Roman" w:eastAsia="Times New Roman" w:hAnsi="Times New Roman"/>
                <w:color w:val="333333"/>
                <w:sz w:val="17"/>
                <w:szCs w:val="17"/>
              </w:rPr>
              <w:t xml:space="preserve">Board oversight active; RMC meets bi-weekly; clear delegated authorities</w:t>
            </w:r>
          </w:p>
        </w:tc>
      </w:tr>
    </w:tbl>
    <w:p>
      <w:r>
        <w:br w:type="page"/>
      </w:r>
    </w:p>
    <w:p>
      <w:pPr>
        <w:spacing w:before="400" w:after="200"/>
      </w:pPr>
      <w:r>
        <w:rPr>
          <w:rFonts w:ascii="Times New Roman" w:cs="Times New Roman" w:eastAsia="Times New Roman" w:hAnsi="Times New Roman"/>
          <w:b/>
          <w:bCs/>
          <w:caps/>
          <w:color w:val="1B2A4A"/>
          <w:sz w:val="26"/>
          <w:szCs w:val="26"/>
        </w:rPr>
        <w:t xml:space="preserve">4. CONCLUSION AND RECOMMENDATIONS</w:t>
      </w:r>
    </w:p>
    <w:p>
      <w:pPr>
        <w:spacing w:before="0" w:after="130"/>
      </w:pPr>
      <w:r>
        <w:rPr>
          <w:rFonts w:ascii="Times New Roman" w:cs="Times New Roman" w:eastAsia="Times New Roman" w:hAnsi="Times New Roman"/>
          <w:color w:val="333333"/>
          <w:sz w:val="22"/>
          <w:szCs w:val="22"/>
        </w:rPr>
        <w:t xml:space="preserve">In our opinion, the internal control framework of NIHA Carbon Consultancy Limited's carbon trading operations is SATISFACTORY. The Company has established a comprehensive governance and risk management infrastructure that is commendable for an entity of its size and stage of development.</w:t>
      </w:r>
    </w:p>
    <w:p>
      <w:pPr>
        <w:spacing w:before="200" w:after="130"/>
      </w:pPr>
      <w:r>
        <w:rPr>
          <w:rFonts w:ascii="Times New Roman" w:cs="Times New Roman" w:eastAsia="Times New Roman" w:hAnsi="Times New Roman"/>
          <w:color w:val="333333"/>
          <w:sz w:val="22"/>
          <w:szCs w:val="22"/>
        </w:rPr>
        <w:t xml:space="preserve">The Company demonstrates several areas of best practice:</w:t>
      </w:r>
    </w:p>
    <w:p>
      <w:pPr>
        <w:spacing w:before="0" w:after="130"/>
        <w:ind w:left="360"/>
      </w:pPr>
      <w:r>
        <w:rPr>
          <w:rFonts w:ascii="Times New Roman" w:cs="Times New Roman" w:eastAsia="Times New Roman" w:hAnsi="Times New Roman"/>
          <w:color w:val="333333"/>
          <w:sz w:val="22"/>
          <w:szCs w:val="22"/>
        </w:rPr>
        <w:t xml:space="preserve">• 100% settlement success rate across 284 transactions since inception;</w:t>
      </w:r>
    </w:p>
    <w:p>
      <w:pPr>
        <w:spacing w:before="0" w:after="130"/>
        <w:ind w:left="360"/>
      </w:pPr>
      <w:r>
        <w:rPr>
          <w:rFonts w:ascii="Times New Roman" w:cs="Times New Roman" w:eastAsia="Times New Roman" w:hAnsi="Times New Roman"/>
          <w:color w:val="333333"/>
          <w:sz w:val="22"/>
          <w:szCs w:val="22"/>
        </w:rPr>
        <w:t xml:space="preserve">• Voluntary adoption of institutional-grade compliance standards;</w:t>
      </w:r>
    </w:p>
    <w:p>
      <w:pPr>
        <w:spacing w:before="0" w:after="130"/>
        <w:ind w:left="360"/>
      </w:pPr>
      <w:r>
        <w:rPr>
          <w:rFonts w:ascii="Times New Roman" w:cs="Times New Roman" w:eastAsia="Times New Roman" w:hAnsi="Times New Roman"/>
          <w:color w:val="333333"/>
          <w:sz w:val="22"/>
          <w:szCs w:val="22"/>
        </w:rPr>
        <w:t xml:space="preserve">• Comprehensive counterparty risk assessment framework with quantitative credit scoring;</w:t>
      </w:r>
    </w:p>
    <w:p>
      <w:pPr>
        <w:spacing w:before="0" w:after="130"/>
        <w:ind w:left="360"/>
      </w:pPr>
      <w:r>
        <w:rPr>
          <w:rFonts w:ascii="Times New Roman" w:cs="Times New Roman" w:eastAsia="Times New Roman" w:hAnsi="Times New Roman"/>
          <w:color w:val="333333"/>
          <w:sz w:val="22"/>
          <w:szCs w:val="22"/>
        </w:rPr>
        <w:t xml:space="preserve">• Professional indemnity and crime insurance coverage appropriate to business scale;</w:t>
      </w:r>
    </w:p>
    <w:p>
      <w:pPr>
        <w:spacing w:before="0" w:after="130"/>
        <w:ind w:left="360"/>
      </w:pPr>
      <w:r>
        <w:rPr>
          <w:rFonts w:ascii="Times New Roman" w:cs="Times New Roman" w:eastAsia="Times New Roman" w:hAnsi="Times New Roman"/>
          <w:color w:val="333333"/>
          <w:sz w:val="22"/>
          <w:szCs w:val="22"/>
        </w:rPr>
        <w:t xml:space="preserve">• Regular stress testing and scenario analysis.</w:t>
      </w:r>
    </w:p>
    <w:p>
      <w:pPr>
        <w:spacing w:before="200" w:after="130"/>
      </w:pPr>
      <w:r>
        <w:rPr>
          <w:rFonts w:ascii="Times New Roman" w:cs="Times New Roman" w:eastAsia="Times New Roman" w:hAnsi="Times New Roman"/>
          <w:color w:val="333333"/>
          <w:sz w:val="22"/>
          <w:szCs w:val="22"/>
        </w:rPr>
        <w:t xml:space="preserve">The three HIGH-rated findings relate to IT infrastructure items that are common in growing technology platforms and do not currently present an immediate risk to operations. Management has committed to remediation timelines.</w:t>
      </w:r>
    </w:p>
    <w:p>
      <w:pPr>
        <w:spacing w:before="200" w:after="130"/>
      </w:pPr>
      <w:r>
        <w:rPr>
          <w:rFonts w:ascii="Times New Roman" w:cs="Times New Roman" w:eastAsia="Times New Roman" w:hAnsi="Times New Roman"/>
          <w:b/>
          <w:bCs/>
          <w:color w:val="1B2A4A"/>
          <w:sz w:val="22"/>
          <w:szCs w:val="22"/>
        </w:rPr>
        <w:t xml:space="preserve">We recommend that the Board:</w:t>
      </w:r>
    </w:p>
    <w:p>
      <w:pPr>
        <w:spacing w:before="0" w:after="130"/>
        <w:ind w:left="360"/>
      </w:pPr>
      <w:r>
        <w:rPr>
          <w:rFonts w:ascii="Times New Roman" w:cs="Times New Roman" w:eastAsia="Times New Roman" w:hAnsi="Times New Roman"/>
          <w:color w:val="333333"/>
          <w:sz w:val="22"/>
          <w:szCs w:val="22"/>
        </w:rPr>
        <w:t xml:space="preserve">(1) Prioritise the three HIGH-rated IT findings for remediation by Q2 2026;</w:t>
      </w:r>
    </w:p>
    <w:p>
      <w:pPr>
        <w:spacing w:before="0" w:after="130"/>
        <w:ind w:left="360"/>
      </w:pPr>
      <w:r>
        <w:rPr>
          <w:rFonts w:ascii="Times New Roman" w:cs="Times New Roman" w:eastAsia="Times New Roman" w:hAnsi="Times New Roman"/>
          <w:color w:val="333333"/>
          <w:sz w:val="22"/>
          <w:szCs w:val="22"/>
        </w:rPr>
        <w:t xml:space="preserve">(2) Approve the implementation of dual approval for high-value trades;</w:t>
      </w:r>
    </w:p>
    <w:p>
      <w:pPr>
        <w:spacing w:before="0" w:after="130"/>
        <w:ind w:left="360"/>
      </w:pPr>
      <w:r>
        <w:rPr>
          <w:rFonts w:ascii="Times New Roman" w:cs="Times New Roman" w:eastAsia="Times New Roman" w:hAnsi="Times New Roman"/>
          <w:color w:val="333333"/>
          <w:sz w:val="22"/>
          <w:szCs w:val="22"/>
        </w:rPr>
        <w:t xml:space="preserve">(3) Schedule a follow-up audit for Q3 2026 to verify remediation of all findings;</w:t>
      </w:r>
    </w:p>
    <w:p>
      <w:pPr>
        <w:spacing w:before="0" w:after="130"/>
        <w:ind w:left="360"/>
      </w:pPr>
      <w:r>
        <w:rPr>
          <w:rFonts w:ascii="Times New Roman" w:cs="Times New Roman" w:eastAsia="Times New Roman" w:hAnsi="Times New Roman"/>
          <w:color w:val="333333"/>
          <w:sz w:val="22"/>
          <w:szCs w:val="22"/>
        </w:rPr>
        <w:t xml:space="preserve">(4) Consider engaging an external penetration testing firm for the trading platform.</w:t>
      </w:r>
    </w:p>
    <w:p>
      <w:pPr>
        <w:spacing w:before="600"/>
      </w:pPr>
    </w:p>
    <w:p>
      <w:pPr>
        <w:spacing w:before="400" w:after="130"/>
      </w:pPr>
      <w:r>
        <w:rPr>
          <w:rFonts w:ascii="Times New Roman" w:cs="Times New Roman" w:eastAsia="Times New Roman" w:hAnsi="Times New Roman"/>
          <w:i/>
          <w:iCs/>
          <w:color w:val="333333"/>
          <w:sz w:val="22"/>
          <w:szCs w:val="22"/>
        </w:rPr>
        <w:t xml:space="preserve">Respectfully submitted,</w:t>
      </w:r>
    </w:p>
    <w:p>
      <w:pPr>
        <w:spacing w:before="500"/>
      </w:pPr>
    </w:p>
    <w:p>
      <w:pPr>
        <w:spacing w:before="0" w:after="130"/>
      </w:pPr>
      <w:r>
        <w:rPr>
          <w:rFonts w:ascii="Times New Roman" w:cs="Times New Roman" w:eastAsia="Times New Roman" w:hAnsi="Times New Roman"/>
          <w:color w:val="333333"/>
          <w:sz w:val="22"/>
          <w:szCs w:val="22"/>
        </w:rPr>
        <w:t xml:space="preserve">_____________________________</w:t>
      </w:r>
    </w:p>
    <w:p>
      <w:pPr>
        <w:spacing w:before="80" w:after="130"/>
      </w:pPr>
      <w:r>
        <w:rPr>
          <w:rFonts w:ascii="Times New Roman" w:cs="Times New Roman" w:eastAsia="Times New Roman" w:hAnsi="Times New Roman"/>
          <w:b/>
          <w:bCs/>
          <w:color w:val="333333"/>
          <w:sz w:val="22"/>
          <w:szCs w:val="22"/>
        </w:rPr>
        <w:t xml:space="preserve">Kenneth C.K. Fung, CIA, CISA</w:t>
      </w:r>
    </w:p>
    <w:p>
      <w:pPr>
        <w:spacing w:before="0" w:after="130"/>
      </w:pPr>
      <w:r>
        <w:rPr>
          <w:rFonts w:ascii="Times New Roman" w:cs="Times New Roman" w:eastAsia="Times New Roman" w:hAnsi="Times New Roman"/>
          <w:color w:val="666666"/>
          <w:sz w:val="22"/>
          <w:szCs w:val="22"/>
        </w:rPr>
        <w:t xml:space="preserve">Lead Auditor — Risk Advisory</w:t>
      </w:r>
    </w:p>
    <w:p>
      <w:pPr>
        <w:spacing w:before="0" w:after="130"/>
      </w:pPr>
      <w:r>
        <w:rPr>
          <w:rFonts w:ascii="Times New Roman" w:cs="Times New Roman" w:eastAsia="Times New Roman" w:hAnsi="Times New Roman"/>
          <w:color w:val="666666"/>
          <w:sz w:val="22"/>
          <w:szCs w:val="22"/>
        </w:rPr>
        <w:t xml:space="preserve">RSM Hong Kong</w:t>
      </w:r>
    </w:p>
    <w:p>
      <w:pPr>
        <w:spacing w:before="400"/>
      </w:pPr>
    </w:p>
    <w:p>
      <w:pPr>
        <w:spacing w:before="0" w:after="130"/>
      </w:pPr>
      <w:r>
        <w:rPr>
          <w:rFonts w:ascii="Times New Roman" w:cs="Times New Roman" w:eastAsia="Times New Roman" w:hAnsi="Times New Roman"/>
          <w:color w:val="333333"/>
          <w:sz w:val="22"/>
          <w:szCs w:val="22"/>
        </w:rPr>
        <w:t xml:space="preserve">_____________________________</w:t>
      </w:r>
    </w:p>
    <w:p>
      <w:pPr>
        <w:spacing w:before="80" w:after="130"/>
      </w:pPr>
      <w:r>
        <w:rPr>
          <w:rFonts w:ascii="Times New Roman" w:cs="Times New Roman" w:eastAsia="Times New Roman" w:hAnsi="Times New Roman"/>
          <w:b/>
          <w:bCs/>
          <w:color w:val="333333"/>
          <w:sz w:val="22"/>
          <w:szCs w:val="22"/>
        </w:rPr>
        <w:t xml:space="preserve">Dr. Grace H.Y. Leung, CPA, FCCA</w:t>
      </w:r>
    </w:p>
    <w:p>
      <w:pPr>
        <w:spacing w:before="0" w:after="130"/>
      </w:pPr>
      <w:r>
        <w:rPr>
          <w:rFonts w:ascii="Times New Roman" w:cs="Times New Roman" w:eastAsia="Times New Roman" w:hAnsi="Times New Roman"/>
          <w:color w:val="666666"/>
          <w:sz w:val="22"/>
          <w:szCs w:val="22"/>
        </w:rPr>
        <w:t xml:space="preserve">Engagement Partner</w:t>
      </w:r>
    </w:p>
    <w:p>
      <w:pPr>
        <w:spacing w:before="0" w:after="130"/>
      </w:pPr>
      <w:r>
        <w:rPr>
          <w:rFonts w:ascii="Times New Roman" w:cs="Times New Roman" w:eastAsia="Times New Roman" w:hAnsi="Times New Roman"/>
          <w:color w:val="666666"/>
          <w:sz w:val="22"/>
          <w:szCs w:val="22"/>
        </w:rPr>
        <w:t xml:space="preserve">RSM Hong Kong</w:t>
      </w:r>
    </w:p>
    <w:p>
      <w:pPr>
        <w:spacing w:before="200"/>
      </w:pPr>
    </w:p>
    <w:p>
      <w:pPr>
        <w:spacing w:before="0" w:after="130"/>
      </w:pPr>
      <w:r>
        <w:rPr>
          <w:rFonts w:ascii="Times New Roman" w:cs="Times New Roman" w:eastAsia="Times New Roman" w:hAnsi="Times New Roman"/>
          <w:color w:val="333333"/>
          <w:sz w:val="22"/>
          <w:szCs w:val="22"/>
        </w:rPr>
        <w:t xml:space="preserve">Date: 10 February 2026</w:t>
      </w:r>
    </w:p>
    <w:p>
      <w:pPr>
        <w:spacing w:before="400"/>
      </w:pPr>
    </w:p>
    <w:p>
      <w:pPr>
        <w:spacing w:before="0" w:after="130"/>
        <w:jc w:val="center"/>
      </w:pPr>
      <w:r>
        <w:rPr>
          <w:rFonts w:ascii="Times New Roman" w:cs="Times New Roman" w:eastAsia="Times New Roman" w:hAnsi="Times New Roman"/>
          <w:b/>
          <w:bCs/>
          <w:color w:val="1B2A4A"/>
          <w:sz w:val="24"/>
          <w:szCs w:val="24"/>
        </w:rPr>
        <w:t xml:space="preserve">— END OF REPORT —</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Ref: NIHA-IA-2026-001 | CONFIDENTIAL — FOR BOARD AND MANAGEMENT ONLY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80"/>
      <w:jc w:val="left"/>
    </w:pPr>
    <w:r>
      <w:rPr>
        <w:rFonts w:ascii="Times New Roman" w:cs="Times New Roman" w:eastAsia="Times New Roman" w:hAnsi="Times New Roman"/>
        <w:b/>
        <w:bCs/>
        <w:color w:val="1B2A4A"/>
        <w:sz w:val="16"/>
        <w:szCs w:val="16"/>
      </w:rPr>
      <w:t xml:space="preserve">NIHA CARBON CONSULTANCY LIMITED</w:t>
    </w:r>
    <w:r>
      <w:rPr>
        <w:rFonts w:ascii="Times New Roman" w:cs="Times New Roman" w:eastAsia="Times New Roman" w:hAnsi="Times New Roman"/>
        <w:color w:val="666666"/>
        <w:sz w:val="16"/>
        <w:szCs w:val="16"/>
      </w:rPr>
      <w:t xml:space="preserve"> | Internal Audit Report — Carbon Trading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2026-02-20T12:37:38.033Z</dcterms:created>
  <dcterms:modified xsi:type="dcterms:W3CDTF">2026-02-20T12:37:38.033Z</dcterms:modified>
</cp:coreProperties>
</file>

<file path=docProps/custom.xml><?xml version="1.0" encoding="utf-8"?>
<Properties xmlns="http://schemas.openxmlformats.org/officeDocument/2006/custom-properties" xmlns:vt="http://schemas.openxmlformats.org/officeDocument/2006/docPropsVTypes"/>
</file>