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Times New Roman" w:cs="Times New Roman" w:eastAsia="Times New Roman" w:hAnsi="Times New Roman"/>
          <w:b/>
          <w:bCs/>
          <w:color w:val="1B2A4A"/>
          <w:sz w:val="36"/>
          <w:szCs w:val="36"/>
        </w:rPr>
        <w:t xml:space="preserve">REGULATORY POSITION MEMORANDUM</w:t>
      </w:r>
    </w:p>
    <w:p>
      <w:pPr>
        <w:pBdr>
          <w:bottom w:val="single" w:color="1B2A4A" w:sz="2" w:space="8"/>
        </w:pBdr>
        <w:spacing w:after="200"/>
        <w:jc w:val="center"/>
      </w:pPr>
      <w:r>
        <w:rPr>
          <w:rFonts w:ascii="Times New Roman" w:cs="Times New Roman" w:eastAsia="Times New Roman" w:hAnsi="Times New Roman"/>
          <w:color w:val="666666"/>
          <w:sz w:val="24"/>
          <w:szCs w:val="24"/>
        </w:rPr>
        <w:t xml:space="preserve">Legal Basis for Carbon Credit Trading Operations in Hong Kong SAR</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b/>
                <w:bCs/>
                <w:color w:val="1B2A4A"/>
                <w:sz w:val="20"/>
                <w:szCs w:val="20"/>
              </w:rPr>
              <w:t xml:space="preserve">Prepared for: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Italy Nihao Group Limited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b/>
                <w:bCs/>
                <w:color w:val="1B2A4A"/>
                <w:sz w:val="20"/>
                <w:szCs w:val="20"/>
              </w:rPr>
              <w:t xml:space="preserve">Subject: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Regulatory framework applicable to bilateral OTC carbon credit trading in Hong Kong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b/>
                <w:bCs/>
                <w:color w:val="1B2A4A"/>
                <w:sz w:val="20"/>
                <w:szCs w:val="20"/>
              </w:rPr>
              <w:t xml:space="preserve">Date: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February 2026</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b/>
                <w:bCs/>
                <w:color w:val="1B2A4A"/>
                <w:sz w:val="20"/>
                <w:szCs w:val="20"/>
              </w:rPr>
              <w:t xml:space="preserve">Classification: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CONFIDENTIAL — Privileged</w:t>
            </w:r>
          </w:p>
        </w:tc>
      </w:tr>
    </w:tbl>
    <w:p>
      <w:r>
        <w:br w:type="page"/>
      </w:r>
    </w:p>
    <w:p>
      <w:pPr>
        <w:spacing w:before="400" w:after="200"/>
      </w:pPr>
      <w:r>
        <w:rPr>
          <w:rFonts w:ascii="Times New Roman" w:cs="Times New Roman" w:eastAsia="Times New Roman" w:hAnsi="Times New Roman"/>
          <w:b/>
          <w:bCs/>
          <w:color w:val="1B2A4A"/>
          <w:sz w:val="26"/>
          <w:szCs w:val="26"/>
        </w:rPr>
        <w:t xml:space="preserve">1. EXECUTIVE SUMMARY</w:t>
      </w:r>
    </w:p>
    <w:p>
      <w:pPr>
        <w:spacing w:after="140"/>
      </w:pPr>
      <w:r>
        <w:rPr>
          <w:rFonts w:ascii="Times New Roman" w:cs="Times New Roman" w:eastAsia="Times New Roman" w:hAnsi="Times New Roman"/>
          <w:color w:val="333333"/>
          <w:sz w:val="22"/>
          <w:szCs w:val="22"/>
        </w:rPr>
        <w:t xml:space="preserve">This Memorandum analyses the regulatory framework applicable to the carbon credit trading operations of Italy Nihao Group Limited (“NIHA” or the “Company”) in Hong Kong Special Administrative Region (“Hong Kong”).</w:t>
      </w:r>
    </w:p>
    <w:p>
      <w:pPr>
        <w:spacing w:after="140"/>
      </w:pPr>
      <w:r>
        <w:rPr>
          <w:rFonts w:ascii="Times New Roman" w:cs="Times New Roman" w:eastAsia="Times New Roman" w:hAnsi="Times New Roman"/>
          <w:color w:val="333333"/>
          <w:sz w:val="22"/>
          <w:szCs w:val="22"/>
        </w:rPr>
        <w:t xml:space="preserve">The principal conclusions of this analysis are:</w:t>
      </w:r>
    </w:p>
    <w:p>
      <w:pPr>
        <w:pStyle w:val="ListParagraph"/>
        <w:numPr>
          <w:ilvl w:val="0"/>
          <w:numId w:val="2"/>
        </w:numPr>
        <w:spacing w:after="100"/>
      </w:pPr>
      <w:r>
        <w:rPr>
          <w:rFonts w:ascii="Times New Roman" w:cs="Times New Roman" w:eastAsia="Times New Roman" w:hAnsi="Times New Roman"/>
          <w:color w:val="333333"/>
          <w:sz w:val="22"/>
          <w:szCs w:val="22"/>
        </w:rPr>
        <w:t xml:space="preserve">Hong Kong does not operate a mandatory emissions trading system and does not impose a carbon tax. There is no statutory licensing regime specific to the trading of carbon credits or carbon allowances.</w:t>
      </w:r>
    </w:p>
    <w:p>
      <w:pPr>
        <w:pStyle w:val="ListParagraph"/>
        <w:numPr>
          <w:ilvl w:val="0"/>
          <w:numId w:val="2"/>
        </w:numPr>
        <w:spacing w:after="100"/>
      </w:pPr>
      <w:r>
        <w:rPr>
          <w:rFonts w:ascii="Times New Roman" w:cs="Times New Roman" w:eastAsia="Times New Roman" w:hAnsi="Times New Roman"/>
          <w:color w:val="333333"/>
          <w:sz w:val="22"/>
          <w:szCs w:val="22"/>
        </w:rPr>
        <w:t xml:space="preserve">Carbon credits (including EU Allowances, China Emission Allowances, and voluntary carbon credits) are not classified as “securities” within the meaning of the applicable securities and futures legislation in Hong Kong (“applicable securities legislation”).</w:t>
      </w:r>
    </w:p>
    <w:p>
      <w:pPr>
        <w:pStyle w:val="ListParagraph"/>
        <w:numPr>
          <w:ilvl w:val="0"/>
          <w:numId w:val="2"/>
        </w:numPr>
        <w:spacing w:after="100"/>
      </w:pPr>
      <w:r>
        <w:rPr>
          <w:rFonts w:ascii="Times New Roman" w:cs="Times New Roman" w:eastAsia="Times New Roman" w:hAnsi="Times New Roman"/>
          <w:color w:val="333333"/>
          <w:sz w:val="22"/>
          <w:szCs w:val="22"/>
        </w:rPr>
        <w:t xml:space="preserve">The OTC derivative licensing regime under Part V, Division 7A of applicable securities legislation (Type 11 and Type 12 regulated activities) has not yet commenced. The effective date has not been announced by the the applicable regulatory authority (“the applicable regulatory authority”).</w:t>
      </w:r>
    </w:p>
    <w:p>
      <w:pPr>
        <w:pStyle w:val="ListParagraph"/>
        <w:numPr>
          <w:ilvl w:val="0"/>
          <w:numId w:val="2"/>
        </w:numPr>
        <w:spacing w:after="100"/>
      </w:pPr>
      <w:r>
        <w:rPr>
          <w:rFonts w:ascii="Times New Roman" w:cs="Times New Roman" w:eastAsia="Times New Roman" w:hAnsi="Times New Roman"/>
          <w:color w:val="333333"/>
          <w:sz w:val="22"/>
          <w:szCs w:val="22"/>
        </w:rPr>
        <w:t xml:space="preserve">Bilateral OTC spot transactions in carbon credits between institutional counterparties can be lawfully conducted in Hong Kong without a dedicated trading license, provided the operator complies with general commercial legislation, anti-money laundering requirements, and applicable tax obligations.</w:t>
      </w:r>
    </w:p>
    <w:p>
      <w:pPr>
        <w:pStyle w:val="ListParagraph"/>
        <w:numPr>
          <w:ilvl w:val="0"/>
          <w:numId w:val="2"/>
        </w:numPr>
        <w:spacing w:after="100"/>
      </w:pPr>
      <w:r>
        <w:rPr>
          <w:rFonts w:ascii="Times New Roman" w:cs="Times New Roman" w:eastAsia="Times New Roman" w:hAnsi="Times New Roman"/>
          <w:color w:val="333333"/>
          <w:sz w:val="22"/>
          <w:szCs w:val="22"/>
        </w:rPr>
        <w:t xml:space="preserve">NIHA’s operations as a principal counterparty in bilateral carbon credit transactions are consistent with the current Hong Kong regulatory framework.</w:t>
      </w:r>
    </w:p>
    <w:p>
      <w:pPr>
        <w:spacing w:before="400" w:after="200"/>
      </w:pPr>
      <w:r>
        <w:rPr>
          <w:rFonts w:ascii="Times New Roman" w:cs="Times New Roman" w:eastAsia="Times New Roman" w:hAnsi="Times New Roman"/>
          <w:b/>
          <w:bCs/>
          <w:color w:val="1B2A4A"/>
          <w:sz w:val="26"/>
          <w:szCs w:val="26"/>
        </w:rPr>
        <w:t xml:space="preserve">2. REGULATORY ANALYSIS</w:t>
      </w:r>
    </w:p>
    <w:p>
      <w:pPr>
        <w:spacing w:before="260" w:after="140"/>
      </w:pPr>
      <w:r>
        <w:rPr>
          <w:rFonts w:ascii="Times New Roman" w:cs="Times New Roman" w:eastAsia="Times New Roman" w:hAnsi="Times New Roman"/>
          <w:b/>
          <w:bCs/>
          <w:color w:val="1B2A4A"/>
          <w:sz w:val="23"/>
          <w:szCs w:val="23"/>
        </w:rPr>
        <w:t xml:space="preserve">2.1 applicable securities and futures legislation in Hong Kong</w:t>
      </w:r>
    </w:p>
    <w:p>
      <w:pPr>
        <w:spacing w:after="140"/>
      </w:pPr>
      <w:r>
        <w:rPr>
          <w:rFonts w:ascii="Times New Roman" w:cs="Times New Roman" w:eastAsia="Times New Roman" w:hAnsi="Times New Roman"/>
          <w:color w:val="333333"/>
          <w:sz w:val="22"/>
          <w:szCs w:val="22"/>
        </w:rPr>
        <w:t xml:space="preserve">applicable securities legislation is the principal legislation governing the securities and futures industry in Hong Kong. It establishes a licensing regime for persons carrying on “regulated activities” as defined in Schedule 5.</w:t>
      </w:r>
    </w:p>
    <w:p>
      <w:pPr>
        <w:spacing w:after="140"/>
      </w:pPr>
      <w:r>
        <w:rPr>
          <w:rFonts w:ascii="Times New Roman" w:cs="Times New Roman" w:eastAsia="Times New Roman" w:hAnsi="Times New Roman"/>
          <w:color w:val="333333"/>
          <w:sz w:val="22"/>
          <w:szCs w:val="22"/>
        </w:rPr>
        <w:t xml:space="preserve">Carbon credits are not included in the definition of “securities” under section 1 of Part 1 of Schedule 1 to applicable securities legislation. The statutory definition encompasses shares, debentures, loan stocks, funds, bonds, notes, and interests in collective investment schemes, but does not extend to carbon emission allowances or environmental instruments.</w:t>
      </w:r>
    </w:p>
    <w:p>
      <w:pPr>
        <w:spacing w:after="140"/>
      </w:pPr>
      <w:r>
        <w:rPr>
          <w:rFonts w:ascii="Times New Roman" w:cs="Times New Roman" w:eastAsia="Times New Roman" w:hAnsi="Times New Roman"/>
          <w:color w:val="333333"/>
          <w:sz w:val="22"/>
          <w:szCs w:val="22"/>
        </w:rPr>
        <w:t xml:space="preserve">Accordingly, a person dealing in carbon credits on a spot or bilateral basis is not carrying on a “regulated activity” under applicable securities legislation and is not required to hold an the applicable regulatory authority license for such dealing.</w:t>
      </w:r>
    </w:p>
    <w:p>
      <w:pPr>
        <w:spacing w:before="260" w:after="140"/>
      </w:pPr>
      <w:r>
        <w:rPr>
          <w:rFonts w:ascii="Times New Roman" w:cs="Times New Roman" w:eastAsia="Times New Roman" w:hAnsi="Times New Roman"/>
          <w:b/>
          <w:bCs/>
          <w:color w:val="1B2A4A"/>
          <w:sz w:val="23"/>
          <w:szCs w:val="23"/>
        </w:rPr>
        <w:t xml:space="preserve">2.2 OTC Derivative Regime (Part V, Division 7A)</w:t>
      </w:r>
    </w:p>
    <w:p>
      <w:pPr>
        <w:spacing w:after="140"/>
      </w:pPr>
      <w:r>
        <w:rPr>
          <w:rFonts w:ascii="Times New Roman" w:cs="Times New Roman" w:eastAsia="Times New Roman" w:hAnsi="Times New Roman"/>
          <w:color w:val="333333"/>
          <w:sz w:val="22"/>
          <w:szCs w:val="22"/>
        </w:rPr>
        <w:t xml:space="preserve">Part V, Division 7A of applicable securities legislation establishes a framework for the regulation of OTC derivative transactions, including mandatory reporting, clearing, and trading obligations. It also introduces Type 11 (dealing in OTC derivative products) and Type 12 (providing clearing services for OTC derivative transactions) regulated activities.</w:t>
      </w:r>
    </w:p>
    <w:p>
      <w:pPr>
        <w:spacing w:after="140"/>
      </w:pPr>
      <w:r>
        <w:rPr>
          <w:rFonts w:ascii="Times New Roman" w:cs="Times New Roman" w:eastAsia="Times New Roman" w:hAnsi="Times New Roman"/>
          <w:color w:val="333333"/>
          <w:sz w:val="22"/>
          <w:szCs w:val="22"/>
        </w:rPr>
        <w:t xml:space="preserve">As of the date of this Memorandum, the applicable regulatory authority has not announced the commencement date for the Type 11 and Type 12 licensing requirements. The mandatory reporting obligation under the Securities and Futures (OTC Derivative Transactions—Reporting and Record Keeping Obligations) Rules is in force for specified entities, but this applies to interest rate and foreign exchange derivatives, not carbon credits.</w:t>
      </w:r>
    </w:p>
    <w:p>
      <w:pPr>
        <w:spacing w:after="140"/>
      </w:pPr>
      <w:r>
        <w:rPr>
          <w:rFonts w:ascii="Times New Roman" w:cs="Times New Roman" w:eastAsia="Times New Roman" w:hAnsi="Times New Roman"/>
          <w:color w:val="333333"/>
          <w:sz w:val="22"/>
          <w:szCs w:val="22"/>
        </w:rPr>
        <w:t xml:space="preserve">Even when the OTC derivative regime fully commences, it would only apply to carbon credit transactions if carbon credits were designated as an “OTC derivative product” by the applicable regulatory authority. This designation has not been made.</w:t>
      </w:r>
    </w:p>
    <w:p>
      <w:pPr>
        <w:spacing w:before="260" w:after="140"/>
      </w:pPr>
      <w:r>
        <w:rPr>
          <w:rFonts w:ascii="Times New Roman" w:cs="Times New Roman" w:eastAsia="Times New Roman" w:hAnsi="Times New Roman"/>
          <w:b/>
          <w:bCs/>
          <w:color w:val="1B2A4A"/>
          <w:sz w:val="23"/>
          <w:szCs w:val="23"/>
        </w:rPr>
        <w:t xml:space="preserve">2.3 applicable anti-money laundering and counter-terrorist financing legislation in Hong Kong</w:t>
      </w:r>
    </w:p>
    <w:p>
      <w:pPr>
        <w:spacing w:after="140"/>
      </w:pPr>
      <w:r>
        <w:rPr>
          <w:rFonts w:ascii="Times New Roman" w:cs="Times New Roman" w:eastAsia="Times New Roman" w:hAnsi="Times New Roman"/>
          <w:color w:val="333333"/>
          <w:sz w:val="22"/>
          <w:szCs w:val="22"/>
        </w:rPr>
        <w:t xml:space="preserve">applicable anti-money laundering legislation imposes customer due diligence (CDD) and record-keeping obligations on “financial institutions” and “designated non-financial businesses and professions” (DNFBPs). While NIHA is not a licensed financial institution, it voluntarily adopts applicable anti-money laundering legislation-aligned AML/KYC procedures as a matter of best practice and corporate governance.</w:t>
      </w:r>
    </w:p>
    <w:p>
      <w:pPr>
        <w:spacing w:after="140"/>
      </w:pPr>
      <w:r>
        <w:rPr>
          <w:rFonts w:ascii="Times New Roman" w:cs="Times New Roman" w:eastAsia="Times New Roman" w:hAnsi="Times New Roman"/>
          <w:color w:val="333333"/>
          <w:sz w:val="22"/>
          <w:szCs w:val="22"/>
        </w:rPr>
        <w:t xml:space="preserve">NIHA’s AML compliance framework includes:</w:t>
      </w:r>
    </w:p>
    <w:p>
      <w:pPr>
        <w:pStyle w:val="ListParagraph"/>
        <w:numPr>
          <w:ilvl w:val="0"/>
          <w:numId w:val="3"/>
        </w:numPr>
        <w:spacing w:after="100"/>
      </w:pPr>
      <w:r>
        <w:rPr>
          <w:rFonts w:ascii="Times New Roman" w:cs="Times New Roman" w:eastAsia="Times New Roman" w:hAnsi="Times New Roman"/>
          <w:color w:val="333333"/>
          <w:sz w:val="22"/>
          <w:szCs w:val="22"/>
        </w:rPr>
        <w:t xml:space="preserve">Customer identification and verification at onboarding (NDA and KYC stages);</w:t>
      </w:r>
    </w:p>
    <w:p>
      <w:pPr>
        <w:pStyle w:val="ListParagraph"/>
        <w:numPr>
          <w:ilvl w:val="0"/>
          <w:numId w:val="3"/>
        </w:numPr>
        <w:spacing w:after="100"/>
      </w:pPr>
      <w:r>
        <w:rPr>
          <w:rFonts w:ascii="Times New Roman" w:cs="Times New Roman" w:eastAsia="Times New Roman" w:hAnsi="Times New Roman"/>
          <w:color w:val="333333"/>
          <w:sz w:val="22"/>
          <w:szCs w:val="22"/>
        </w:rPr>
        <w:t xml:space="preserve">Ongoing monitoring of business relationships and transactions;</w:t>
      </w:r>
    </w:p>
    <w:p>
      <w:pPr>
        <w:pStyle w:val="ListParagraph"/>
        <w:numPr>
          <w:ilvl w:val="0"/>
          <w:numId w:val="3"/>
        </w:numPr>
        <w:spacing w:after="100"/>
      </w:pPr>
      <w:r>
        <w:rPr>
          <w:rFonts w:ascii="Times New Roman" w:cs="Times New Roman" w:eastAsia="Times New Roman" w:hAnsi="Times New Roman"/>
          <w:color w:val="333333"/>
          <w:sz w:val="22"/>
          <w:szCs w:val="22"/>
        </w:rPr>
        <w:t xml:space="preserve">Suspicious transaction reporting procedures;</w:t>
      </w:r>
    </w:p>
    <w:p>
      <w:pPr>
        <w:pStyle w:val="ListParagraph"/>
        <w:numPr>
          <w:ilvl w:val="0"/>
          <w:numId w:val="3"/>
        </w:numPr>
        <w:spacing w:after="100"/>
      </w:pPr>
      <w:r>
        <w:rPr>
          <w:rFonts w:ascii="Times New Roman" w:cs="Times New Roman" w:eastAsia="Times New Roman" w:hAnsi="Times New Roman"/>
          <w:color w:val="333333"/>
          <w:sz w:val="22"/>
          <w:szCs w:val="22"/>
        </w:rPr>
        <w:t xml:space="preserve">Record retention for a minimum of seven years;</w:t>
      </w:r>
    </w:p>
    <w:p>
      <w:pPr>
        <w:pStyle w:val="ListParagraph"/>
        <w:numPr>
          <w:ilvl w:val="0"/>
          <w:numId w:val="3"/>
        </w:numPr>
        <w:spacing w:after="100"/>
      </w:pPr>
      <w:r>
        <w:rPr>
          <w:rFonts w:ascii="Times New Roman" w:cs="Times New Roman" w:eastAsia="Times New Roman" w:hAnsi="Times New Roman"/>
          <w:color w:val="333333"/>
          <w:sz w:val="22"/>
          <w:szCs w:val="22"/>
        </w:rPr>
        <w:t xml:space="preserve">Appointment of a designated compliance officer.</w:t>
      </w:r>
    </w:p>
    <w:p>
      <w:pPr>
        <w:spacing w:before="260" w:after="140"/>
      </w:pPr>
      <w:r>
        <w:rPr>
          <w:rFonts w:ascii="Times New Roman" w:cs="Times New Roman" w:eastAsia="Times New Roman" w:hAnsi="Times New Roman"/>
          <w:b/>
          <w:bCs/>
          <w:color w:val="1B2A4A"/>
          <w:sz w:val="23"/>
          <w:szCs w:val="23"/>
        </w:rPr>
        <w:t xml:space="preserve">2.4 applicable companies legislation in Hong Kong</w:t>
      </w:r>
    </w:p>
    <w:p>
      <w:pPr>
        <w:spacing w:after="140"/>
      </w:pPr>
      <w:r>
        <w:rPr>
          <w:rFonts w:ascii="Times New Roman" w:cs="Times New Roman" w:eastAsia="Times New Roman" w:hAnsi="Times New Roman"/>
          <w:color w:val="333333"/>
          <w:sz w:val="22"/>
          <w:szCs w:val="22"/>
        </w:rPr>
        <w:t xml:space="preserve">NIHA is incorporated in Hong Kong and subject to the Companies Ordinance. It maintains compliance with all requirements relating to company formation, annual returns, financial statements, and directors’ duties.</w:t>
      </w:r>
    </w:p>
    <w:p>
      <w:pPr>
        <w:spacing w:before="260" w:after="140"/>
      </w:pPr>
      <w:r>
        <w:rPr>
          <w:rFonts w:ascii="Times New Roman" w:cs="Times New Roman" w:eastAsia="Times New Roman" w:hAnsi="Times New Roman"/>
          <w:b/>
          <w:bCs/>
          <w:color w:val="1B2A4A"/>
          <w:sz w:val="23"/>
          <w:szCs w:val="23"/>
        </w:rPr>
        <w:t xml:space="preserve">2.5 regulated financial services provider Licensing (applicable anti-money laundering legislation, Part 3)</w:t>
      </w:r>
    </w:p>
    <w:p>
      <w:pPr>
        <w:spacing w:after="140"/>
      </w:pPr>
      <w:r>
        <w:rPr>
          <w:rFonts w:ascii="Times New Roman" w:cs="Times New Roman" w:eastAsia="Times New Roman" w:hAnsi="Times New Roman"/>
          <w:color w:val="333333"/>
          <w:sz w:val="22"/>
          <w:szCs w:val="22"/>
        </w:rPr>
        <w:t xml:space="preserve">A regulated financial services provider (“MSO”) license is required for persons carrying on a money service, which is defined as operating a money changing service or a remittance service. NIHA’s carbon credit trading operations do not constitute a money service, as:</w:t>
      </w:r>
    </w:p>
    <w:p>
      <w:pPr>
        <w:pStyle w:val="ListParagraph"/>
        <w:numPr>
          <w:ilvl w:val="0"/>
          <w:numId w:val="3"/>
        </w:numPr>
        <w:spacing w:after="100"/>
      </w:pPr>
      <w:r>
        <w:rPr>
          <w:rFonts w:ascii="Times New Roman" w:cs="Times New Roman" w:eastAsia="Times New Roman" w:hAnsi="Times New Roman"/>
          <w:color w:val="333333"/>
          <w:sz w:val="22"/>
          <w:szCs w:val="22"/>
        </w:rPr>
        <w:t xml:space="preserve">Carbon credits are not “money” or “currency” within the statutory definition;</w:t>
      </w:r>
    </w:p>
    <w:p>
      <w:pPr>
        <w:pStyle w:val="ListParagraph"/>
        <w:numPr>
          <w:ilvl w:val="0"/>
          <w:numId w:val="3"/>
        </w:numPr>
        <w:spacing w:after="100"/>
      </w:pPr>
      <w:r>
        <w:rPr>
          <w:rFonts w:ascii="Times New Roman" w:cs="Times New Roman" w:eastAsia="Times New Roman" w:hAnsi="Times New Roman"/>
          <w:color w:val="333333"/>
          <w:sz w:val="22"/>
          <w:szCs w:val="22"/>
        </w:rPr>
        <w:t xml:space="preserve">NIHA does not operate a money changing or remittance service;</w:t>
      </w:r>
    </w:p>
    <w:p>
      <w:pPr>
        <w:pStyle w:val="ListParagraph"/>
        <w:numPr>
          <w:ilvl w:val="0"/>
          <w:numId w:val="3"/>
        </w:numPr>
        <w:spacing w:after="100"/>
      </w:pPr>
      <w:r>
        <w:rPr>
          <w:rFonts w:ascii="Times New Roman" w:cs="Times New Roman" w:eastAsia="Times New Roman" w:hAnsi="Times New Roman"/>
          <w:color w:val="333333"/>
          <w:sz w:val="22"/>
          <w:szCs w:val="22"/>
        </w:rPr>
        <w:t xml:space="preserve">Payment flows between NIHA and its clients are settlement of contractual obligations arising from carbon credit transactions, not remittance services.</w:t>
      </w:r>
    </w:p>
    <w:p>
      <w:pPr>
        <w:spacing w:before="260" w:after="140"/>
      </w:pPr>
      <w:r>
        <w:rPr>
          <w:rFonts w:ascii="Times New Roman" w:cs="Times New Roman" w:eastAsia="Times New Roman" w:hAnsi="Times New Roman"/>
          <w:b/>
          <w:bCs/>
          <w:color w:val="1B2A4A"/>
          <w:sz w:val="23"/>
          <w:szCs w:val="23"/>
        </w:rPr>
        <w:t xml:space="preserve">2.6 Trust or Company Service Provider Licensing (applicable anti-money laundering legislation, Part 5A)</w:t>
      </w:r>
    </w:p>
    <w:p>
      <w:pPr>
        <w:spacing w:after="140"/>
      </w:pPr>
      <w:r>
        <w:rPr>
          <w:rFonts w:ascii="Times New Roman" w:cs="Times New Roman" w:eastAsia="Times New Roman" w:hAnsi="Times New Roman"/>
          <w:color w:val="333333"/>
          <w:sz w:val="22"/>
          <w:szCs w:val="22"/>
        </w:rPr>
        <w:t xml:space="preserve">A Trust or Company Service Provider (“TCSP”) license is required for persons who, by way of business, provide specified trust or company services. While NIHA holds carbon credits as custodian with legal title, this custody arrangement is ancillary to its principal carbon trading business and does not constitute a “trust service” within the meaning of applicable anti-money laundering legislation.</w:t>
      </w:r>
    </w:p>
    <w:p>
      <w:pPr>
        <w:spacing w:after="140"/>
      </w:pPr>
      <w:r>
        <w:rPr>
          <w:rFonts w:ascii="Times New Roman" w:cs="Times New Roman" w:eastAsia="Times New Roman" w:hAnsi="Times New Roman"/>
          <w:color w:val="333333"/>
          <w:sz w:val="22"/>
          <w:szCs w:val="22"/>
        </w:rPr>
        <w:t xml:space="preserve">Notwithstanding the above, NIHA may elect to obtain a TCSP license as an additional credibility measure, given the relatively low cost and expedited application process (typically 2–4 months).</w:t>
      </w:r>
    </w:p>
    <w:p>
      <w:r>
        <w:br w:type="page"/>
      </w:r>
    </w:p>
    <w:p>
      <w:pPr>
        <w:spacing w:before="400" w:after="200"/>
      </w:pPr>
      <w:r>
        <w:rPr>
          <w:rFonts w:ascii="Times New Roman" w:cs="Times New Roman" w:eastAsia="Times New Roman" w:hAnsi="Times New Roman"/>
          <w:b/>
          <w:bCs/>
          <w:color w:val="1B2A4A"/>
          <w:sz w:val="26"/>
          <w:szCs w:val="26"/>
        </w:rPr>
        <w:t xml:space="preserve">3. NIHA’S OPERATING MODEL</w:t>
      </w:r>
    </w:p>
    <w:p>
      <w:pPr>
        <w:spacing w:before="260" w:after="140"/>
      </w:pPr>
      <w:r>
        <w:rPr>
          <w:rFonts w:ascii="Times New Roman" w:cs="Times New Roman" w:eastAsia="Times New Roman" w:hAnsi="Times New Roman"/>
          <w:b/>
          <w:bCs/>
          <w:color w:val="1B2A4A"/>
          <w:sz w:val="23"/>
          <w:szCs w:val="23"/>
        </w:rPr>
        <w:t xml:space="preserve">3.1 Principal Counterparty Structure</w:t>
      </w:r>
    </w:p>
    <w:p>
      <w:pPr>
        <w:spacing w:after="140"/>
      </w:pPr>
      <w:r>
        <w:rPr>
          <w:rFonts w:ascii="Times New Roman" w:cs="Times New Roman" w:eastAsia="Times New Roman" w:hAnsi="Times New Roman"/>
          <w:color w:val="333333"/>
          <w:sz w:val="22"/>
          <w:szCs w:val="22"/>
        </w:rPr>
        <w:t xml:space="preserve">NIHA operates as a principal counterparty to all carbon credit transactions. This means:</w:t>
      </w:r>
    </w:p>
    <w:p>
      <w:pPr>
        <w:pStyle w:val="ListParagraph"/>
        <w:numPr>
          <w:ilvl w:val="0"/>
          <w:numId w:val="3"/>
        </w:numPr>
        <w:spacing w:after="100"/>
      </w:pPr>
      <w:r>
        <w:rPr>
          <w:rFonts w:ascii="Times New Roman" w:cs="Times New Roman" w:eastAsia="Times New Roman" w:hAnsi="Times New Roman"/>
          <w:color w:val="333333"/>
          <w:sz w:val="22"/>
          <w:szCs w:val="22"/>
        </w:rPr>
        <w:t xml:space="preserve">NIHA acquires carbon credits in its own name and for its own account from sellers in the PRC pilot ETS markets and/or voluntary carbon markets;</w:t>
      </w:r>
    </w:p>
    <w:p>
      <w:pPr>
        <w:pStyle w:val="ListParagraph"/>
        <w:numPr>
          <w:ilvl w:val="0"/>
          <w:numId w:val="3"/>
        </w:numPr>
        <w:spacing w:after="100"/>
      </w:pPr>
      <w:r>
        <w:rPr>
          <w:rFonts w:ascii="Times New Roman" w:cs="Times New Roman" w:eastAsia="Times New Roman" w:hAnsi="Times New Roman"/>
          <w:color w:val="333333"/>
          <w:sz w:val="22"/>
          <w:szCs w:val="22"/>
        </w:rPr>
        <w:t xml:space="preserve">Legal title to the acquired carbon credits vests in NIHA;</w:t>
      </w:r>
    </w:p>
    <w:p>
      <w:pPr>
        <w:pStyle w:val="ListParagraph"/>
        <w:numPr>
          <w:ilvl w:val="0"/>
          <w:numId w:val="3"/>
        </w:numPr>
        <w:spacing w:after="100"/>
      </w:pPr>
      <w:r>
        <w:rPr>
          <w:rFonts w:ascii="Times New Roman" w:cs="Times New Roman" w:eastAsia="Times New Roman" w:hAnsi="Times New Roman"/>
          <w:color w:val="333333"/>
          <w:sz w:val="22"/>
          <w:szCs w:val="22"/>
        </w:rPr>
        <w:t xml:space="preserve">NIHA subsequently sells or converts these carbon credits to its clients under separate bilateral agreements;</w:t>
      </w:r>
    </w:p>
    <w:p>
      <w:pPr>
        <w:pStyle w:val="ListParagraph"/>
        <w:numPr>
          <w:ilvl w:val="0"/>
          <w:numId w:val="3"/>
        </w:numPr>
        <w:spacing w:after="100"/>
      </w:pPr>
      <w:r>
        <w:rPr>
          <w:rFonts w:ascii="Times New Roman" w:cs="Times New Roman" w:eastAsia="Times New Roman" w:hAnsi="Times New Roman"/>
          <w:color w:val="333333"/>
          <w:sz w:val="22"/>
          <w:szCs w:val="22"/>
        </w:rPr>
        <w:t xml:space="preserve">The client obtains beneficial ownership of the carbon credits through the custody arrangement;</w:t>
      </w:r>
    </w:p>
    <w:p>
      <w:pPr>
        <w:pStyle w:val="ListParagraph"/>
        <w:numPr>
          <w:ilvl w:val="0"/>
          <w:numId w:val="3"/>
        </w:numPr>
        <w:spacing w:after="100"/>
      </w:pPr>
      <w:r>
        <w:rPr>
          <w:rFonts w:ascii="Times New Roman" w:cs="Times New Roman" w:eastAsia="Times New Roman" w:hAnsi="Times New Roman"/>
          <w:color w:val="333333"/>
          <w:sz w:val="22"/>
          <w:szCs w:val="22"/>
        </w:rPr>
        <w:t xml:space="preserve">NIHA does not act as broker, agent, or intermediary. It bears principal risk on each transaction.</w:t>
      </w:r>
    </w:p>
    <w:p>
      <w:pPr>
        <w:spacing w:before="260" w:after="140"/>
      </w:pPr>
      <w:r>
        <w:rPr>
          <w:rFonts w:ascii="Times New Roman" w:cs="Times New Roman" w:eastAsia="Times New Roman" w:hAnsi="Times New Roman"/>
          <w:b/>
          <w:bCs/>
          <w:color w:val="1B2A4A"/>
          <w:sz w:val="23"/>
          <w:szCs w:val="23"/>
        </w:rPr>
        <w:t xml:space="preserve">3.2 Rationale for Principal Model</w:t>
      </w:r>
    </w:p>
    <w:p>
      <w:pPr>
        <w:spacing w:after="140"/>
      </w:pPr>
      <w:r>
        <w:rPr>
          <w:rFonts w:ascii="Times New Roman" w:cs="Times New Roman" w:eastAsia="Times New Roman" w:hAnsi="Times New Roman"/>
          <w:color w:val="333333"/>
          <w:sz w:val="22"/>
          <w:szCs w:val="22"/>
        </w:rPr>
        <w:t xml:space="preserve">The principal counterparty model is necessitated by the structural separation of the EU and PRC carbon markets:</w:t>
      </w:r>
    </w:p>
    <w:p>
      <w:pPr>
        <w:pStyle w:val="ListParagraph"/>
        <w:numPr>
          <w:ilvl w:val="0"/>
          <w:numId w:val="3"/>
        </w:numPr>
        <w:spacing w:after="100"/>
      </w:pPr>
      <w:r>
        <w:rPr>
          <w:rFonts w:ascii="Times New Roman" w:cs="Times New Roman" w:eastAsia="Times New Roman" w:hAnsi="Times New Roman"/>
          <w:color w:val="333333"/>
          <w:sz w:val="22"/>
          <w:szCs w:val="22"/>
        </w:rPr>
        <w:t xml:space="preserve">EU entities cannot directly access PRC pilot ETS registries, and PRC entities cannot directly access the EU Transaction Log (EUTL);</w:t>
      </w:r>
    </w:p>
    <w:p>
      <w:pPr>
        <w:pStyle w:val="ListParagraph"/>
        <w:numPr>
          <w:ilvl w:val="0"/>
          <w:numId w:val="3"/>
        </w:numPr>
        <w:spacing w:after="100"/>
      </w:pPr>
      <w:r>
        <w:rPr>
          <w:rFonts w:ascii="Times New Roman" w:cs="Times New Roman" w:eastAsia="Times New Roman" w:hAnsi="Times New Roman"/>
          <w:color w:val="333333"/>
          <w:sz w:val="22"/>
          <w:szCs w:val="22"/>
        </w:rPr>
        <w:t xml:space="preserve">No cross-border recognition mechanism exists between EU ETS and any PRC ETS;</w:t>
      </w:r>
    </w:p>
    <w:p>
      <w:pPr>
        <w:pStyle w:val="ListParagraph"/>
        <w:numPr>
          <w:ilvl w:val="0"/>
          <w:numId w:val="3"/>
        </w:numPr>
        <w:spacing w:after="100"/>
      </w:pPr>
      <w:r>
        <w:rPr>
          <w:rFonts w:ascii="Times New Roman" w:cs="Times New Roman" w:eastAsia="Times New Roman" w:hAnsi="Times New Roman"/>
          <w:color w:val="333333"/>
          <w:sz w:val="22"/>
          <w:szCs w:val="22"/>
        </w:rPr>
        <w:t xml:space="preserve">A broker model would require the broker to facilitate direct counterparty relationships between EU and PRC entities, which is operationally and legally impracticable given the mutually exclusive regulatory regimes;</w:t>
      </w:r>
    </w:p>
    <w:p>
      <w:pPr>
        <w:pStyle w:val="ListParagraph"/>
        <w:numPr>
          <w:ilvl w:val="0"/>
          <w:numId w:val="3"/>
        </w:numPr>
        <w:spacing w:after="100"/>
      </w:pPr>
      <w:r>
        <w:rPr>
          <w:rFonts w:ascii="Times New Roman" w:cs="Times New Roman" w:eastAsia="Times New Roman" w:hAnsi="Times New Roman"/>
          <w:color w:val="333333"/>
          <w:sz w:val="22"/>
          <w:szCs w:val="22"/>
        </w:rPr>
        <w:t xml:space="preserve">As principal, NIHA bridges this structural gap by acquiring in one market and selling in the other, bearing the market, regulatory, and operational risk during the intermediation period.</w:t>
      </w:r>
    </w:p>
    <w:p>
      <w:pPr>
        <w:spacing w:before="260" w:after="140"/>
      </w:pPr>
      <w:r>
        <w:rPr>
          <w:rFonts w:ascii="Times New Roman" w:cs="Times New Roman" w:eastAsia="Times New Roman" w:hAnsi="Times New Roman"/>
          <w:b/>
          <w:bCs/>
          <w:color w:val="1B2A4A"/>
          <w:sz w:val="23"/>
          <w:szCs w:val="23"/>
        </w:rPr>
        <w:t xml:space="preserve">3.3 Market Access</w:t>
      </w:r>
    </w:p>
    <w:p>
      <w:pPr>
        <w:spacing w:after="140"/>
      </w:pPr>
      <w:r>
        <w:rPr>
          <w:rFonts w:ascii="Times New Roman" w:cs="Times New Roman" w:eastAsia="Times New Roman" w:hAnsi="Times New Roman"/>
          <w:color w:val="333333"/>
          <w:sz w:val="22"/>
          <w:szCs w:val="22"/>
        </w:rPr>
        <w:t xml:space="preserve">NIHA maintains or intends to maintain access to the following markets: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13"/>
        <w:gridCol w:w="2213"/>
        <w:gridCol w:w="20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Market</w:t>
            </w:r>
          </w:p>
        </w:tc>
        <w:tc>
          <w:tcPr>
            <w:tcW w:type="dxa" w:w="22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Status</w:t>
            </w:r>
          </w:p>
        </w:tc>
        <w:tc>
          <w:tcPr>
            <w:tcW w:type="dxa" w:w="22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Products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Access Type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Shenzhen Pilot ETS (CEEX Shenzhen)</w:t>
            </w:r>
          </w:p>
        </w:tc>
        <w:tc>
          <w:tcPr>
            <w:tcW w:type="dxa" w:w="22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Open to foreign investors since 2014</w:t>
            </w:r>
          </w:p>
        </w:tc>
        <w:tc>
          <w:tcPr>
            <w:tcW w:type="dxa" w:w="22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SZA, CCER, Tan Pu Hui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Direct membership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HKEX Core Climate</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Operational since 2022</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VCC (voluntary)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Institutional member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OTC Bilateral (EU counterparties)</w:t>
            </w:r>
          </w:p>
        </w:tc>
        <w:tc>
          <w:tcPr>
            <w:tcW w:type="dxa" w:w="22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Active</w:t>
            </w:r>
          </w:p>
        </w:tc>
        <w:tc>
          <w:tcPr>
            <w:tcW w:type="dxa" w:w="22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EUA, voluntary credits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Direct negotiation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GBA Carbon Connect</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In development</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Cross-border allowances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Founding participant</w:t>
            </w:r>
          </w:p>
        </w:tc>
      </w:tr>
    </w:tbl>
    <w:p>
      <w:pPr>
        <w:spacing w:after="200"/>
      </w:pPr>
    </w:p>
    <w:p>
      <w:pPr>
        <w:spacing w:before="260" w:after="140"/>
      </w:pPr>
      <w:r>
        <w:rPr>
          <w:rFonts w:ascii="Times New Roman" w:cs="Times New Roman" w:eastAsia="Times New Roman" w:hAnsi="Times New Roman"/>
          <w:b/>
          <w:bCs/>
          <w:color w:val="1B2A4A"/>
          <w:sz w:val="23"/>
          <w:szCs w:val="23"/>
        </w:rPr>
        <w:t xml:space="preserve">3.4 Service History</w:t>
      </w:r>
    </w:p>
    <w:p>
      <w:pPr>
        <w:spacing w:after="140"/>
      </w:pPr>
      <w:r>
        <w:rPr>
          <w:rFonts w:ascii="Times New Roman" w:cs="Times New Roman" w:eastAsia="Times New Roman" w:hAnsi="Times New Roman"/>
          <w:color w:val="333333"/>
          <w:sz w:val="22"/>
          <w:szCs w:val="22"/>
        </w:rPr>
        <w:t xml:space="preserve">NIHA has provided carbon credit intermediation services to a select group of business partners and associates for an extended period. This service has been operated on a private, invitation-only basis due to the developing and evolving nature of the Chinese carbon market, particularly the limited liquidity and regulatory uncertainty in the pilot ETS markets.</w:t>
      </w:r>
    </w:p>
    <w:p>
      <w:pPr>
        <w:spacing w:after="140"/>
      </w:pPr>
      <w:r>
        <w:rPr>
          <w:rFonts w:ascii="Times New Roman" w:cs="Times New Roman" w:eastAsia="Times New Roman" w:hAnsi="Times New Roman"/>
          <w:color w:val="333333"/>
          <w:sz w:val="22"/>
          <w:szCs w:val="22"/>
        </w:rPr>
        <w:t xml:space="preserve">The NIHA Carbon Platform represents the formalization and scaling of this established service offering, bringing institutional-grade infrastructure, compliance frameworks, and standardized documentation to a capability that has been tested and refined through real commercial relationships.</w:t>
      </w:r>
    </w:p>
    <w:p>
      <w:r>
        <w:br w:type="page"/>
      </w:r>
    </w:p>
    <w:p>
      <w:pPr>
        <w:spacing w:before="400" w:after="200"/>
      </w:pPr>
      <w:r>
        <w:rPr>
          <w:rFonts w:ascii="Times New Roman" w:cs="Times New Roman" w:eastAsia="Times New Roman" w:hAnsi="Times New Roman"/>
          <w:b/>
          <w:bCs/>
          <w:color w:val="1B2A4A"/>
          <w:sz w:val="26"/>
          <w:szCs w:val="26"/>
        </w:rPr>
        <w:t xml:space="preserve">4. STRATEGIC ADVANTAGES OF HONG KONG JURISDICTION</w:t>
      </w:r>
    </w:p>
    <w:p>
      <w:pPr>
        <w:spacing w:after="140"/>
      </w:pPr>
      <w:r>
        <w:rPr>
          <w:rFonts w:ascii="Times New Roman" w:cs="Times New Roman" w:eastAsia="Times New Roman" w:hAnsi="Times New Roman"/>
          <w:color w:val="333333"/>
          <w:sz w:val="22"/>
          <w:szCs w:val="22"/>
        </w:rPr>
        <w:t xml:space="preserve">Hong Kong’s regulatory framework provides structural advantages for cross-border carbon credit trading that are unavailable in other jurisdictions: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Advantage</w:t>
            </w:r>
          </w:p>
        </w:tc>
        <w:tc>
          <w:tcPr>
            <w:tcW w:type="dxa" w:w="6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No licensing barrier</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Operations can commence without the 6-12 month licensing waiting period required in EU jurisdictions (MiFID II) or other regulated markets. This allows NIHA to respond to market opportunities immediately.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Multi-currency capability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Hong Kong is the only jurisdiction where carbon trades can settle in HKD, USD, RMB, and EUR. This is essential for cross-border EU-China flows where both EUR and CNY settlement is required.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GBA gateway</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Hong Kong’s position within the Greater Bay Area provides proximity and connectivity to the Shenzhen and Guangdong pilot ETS markets. The planned GBA Carbon Connect initiative will further strengthen this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Common law enforceability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Contracts governed by Hong Kong law are recognized and enforceable in major jurisdictions. HKIAC arbitral awards are enforceable under the New York Convention in 172 countries.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Rule of law</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Hong Kong’s independent judiciary, established legal profession, and transparent regulatory environment provide confidence to international counterparties and clients.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Tax efficiency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Hong Kong’s territorial tax system means that profits from carbon credit trading conducted outside Hong Kong may not be subject to profits tax. Professional tax advice should be obtained.</w:t>
            </w:r>
          </w:p>
        </w:tc>
      </w:tr>
    </w:tbl>
    <w:p>
      <w:pPr>
        <w:spacing w:after="200"/>
      </w:pPr>
    </w:p>
    <w:p>
      <w:pPr>
        <w:spacing w:before="400" w:after="200"/>
      </w:pPr>
      <w:r>
        <w:rPr>
          <w:rFonts w:ascii="Times New Roman" w:cs="Times New Roman" w:eastAsia="Times New Roman" w:hAnsi="Times New Roman"/>
          <w:b/>
          <w:bCs/>
          <w:color w:val="1B2A4A"/>
          <w:sz w:val="26"/>
          <w:szCs w:val="26"/>
        </w:rPr>
        <w:t xml:space="preserve">5. VOLUNTARY COMPLIANCE FRAMEWORK</w:t>
      </w:r>
    </w:p>
    <w:p>
      <w:pPr>
        <w:spacing w:after="140"/>
      </w:pPr>
      <w:r>
        <w:rPr>
          <w:rFonts w:ascii="Times New Roman" w:cs="Times New Roman" w:eastAsia="Times New Roman" w:hAnsi="Times New Roman"/>
          <w:color w:val="333333"/>
          <w:sz w:val="22"/>
          <w:szCs w:val="22"/>
        </w:rPr>
        <w:t xml:space="preserve">Although no dedicated license is required, NIHA voluntarily implements a comprehensive compliance framework that exceeds the minimum legal requirements. This framework is designed to build trust with clients and position NIHA for any future regulatory developments.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Measure</w:t>
            </w:r>
          </w:p>
        </w:tc>
        <w:tc>
          <w:tcPr>
            <w:tcW w:type="dxa" w:w="33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Description</w:t>
            </w:r>
          </w:p>
        </w:tc>
        <w:tc>
          <w:tcPr>
            <w:tcW w:type="dxa" w:w="33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Standard Applied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AML/KYC</w:t>
            </w:r>
          </w:p>
        </w:tc>
        <w:tc>
          <w:tcPr>
            <w:tcW w:type="dxa" w:w="33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Full customer due diligence at onboarding, ongoing monitoring, STR reporting</w:t>
            </w:r>
          </w:p>
        </w:tc>
        <w:tc>
          <w:tcPr>
            <w:tcW w:type="dxa" w:w="33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applicable anti-money laundering legislation (applicable anti-money laundering legislation) / FATF Recommendations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Client money segregation</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Funds held in segregated accounts at licensed HK bank</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the applicable regulatory authority Client Money Rules (adapted)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Custody records</w:t>
            </w:r>
          </w:p>
        </w:tc>
        <w:tc>
          <w:tcPr>
            <w:tcW w:type="dxa" w:w="33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Client Ledger with per-client Carbon Credit holdings, auditable</w:t>
            </w:r>
          </w:p>
        </w:tc>
        <w:tc>
          <w:tcPr>
            <w:tcW w:type="dxa" w:w="33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ISDA CSA / VCC Definitions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Annual audit</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Independent audit of custody records and segregated accounts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HKICPA Standards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Compliance officer</w:t>
            </w:r>
          </w:p>
        </w:tc>
        <w:tc>
          <w:tcPr>
            <w:tcW w:type="dxa" w:w="33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Designated compliance officer with documented reporting procedures</w:t>
            </w:r>
          </w:p>
        </w:tc>
        <w:tc>
          <w:tcPr>
            <w:tcW w:type="dxa" w:w="33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Times New Roman" w:cs="Times New Roman" w:eastAsia="Times New Roman" w:hAnsi="Times New Roman"/>
                <w:color w:val="333333"/>
                <w:sz w:val="20"/>
                <w:szCs w:val="20"/>
              </w:rPr>
              <w:t xml:space="preserve">Best practice governance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Contractual framework</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MSA, Custody Agreement, Client Money Agreement, Trade Confirmations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333333"/>
                <w:sz w:val="20"/>
                <w:szCs w:val="20"/>
              </w:rPr>
              <w:t xml:space="preserve">industry-standard carbon credit definitions / IETA ERPA</w:t>
            </w:r>
          </w:p>
        </w:tc>
      </w:tr>
    </w:tbl>
    <w:p>
      <w:pPr>
        <w:spacing w:after="200"/>
      </w:pPr>
    </w:p>
    <w:p>
      <w:pPr>
        <w:spacing w:before="400" w:after="200"/>
      </w:pPr>
      <w:r>
        <w:rPr>
          <w:rFonts w:ascii="Times New Roman" w:cs="Times New Roman" w:eastAsia="Times New Roman" w:hAnsi="Times New Roman"/>
          <w:b/>
          <w:bCs/>
          <w:color w:val="1B2A4A"/>
          <w:sz w:val="26"/>
          <w:szCs w:val="26"/>
        </w:rPr>
        <w:t xml:space="preserve">6. REGULATORY RISKS AND MONITORING</w:t>
      </w:r>
    </w:p>
    <w:p>
      <w:pPr>
        <w:spacing w:after="140"/>
      </w:pPr>
      <w:r>
        <w:rPr>
          <w:rFonts w:ascii="Times New Roman" w:cs="Times New Roman" w:eastAsia="Times New Roman" w:hAnsi="Times New Roman"/>
          <w:color w:val="333333"/>
          <w:sz w:val="22"/>
          <w:szCs w:val="22"/>
        </w:rPr>
        <w:t xml:space="preserve">NIHA monitors the following regulatory developments that could affect its operations:</w:t>
      </w:r>
    </w:p>
    <w:p>
      <w:pPr>
        <w:pStyle w:val="ListParagraph"/>
        <w:numPr>
          <w:ilvl w:val="0"/>
          <w:numId w:val="2"/>
        </w:numPr>
        <w:spacing w:after="100"/>
      </w:pPr>
      <w:r>
        <w:rPr>
          <w:rFonts w:ascii="Times New Roman" w:cs="Times New Roman" w:eastAsia="Times New Roman" w:hAnsi="Times New Roman"/>
          <w:color w:val="333333"/>
          <w:sz w:val="22"/>
          <w:szCs w:val="22"/>
        </w:rPr>
        <w:t xml:space="preserve">the applicable regulatory authority expansion of regulated activities: the applicable regulatory authority has consulted on potential amendments to the Financial Resources Rules (FRR) that could bring certain carbon-related products within the regulatory perimeter. NIHA monitors all the applicable regulatory authority consultations and is prepared to apply for the relevant license if and when required.</w:t>
      </w:r>
    </w:p>
    <w:p>
      <w:pPr>
        <w:pStyle w:val="ListParagraph"/>
        <w:numPr>
          <w:ilvl w:val="0"/>
          <w:numId w:val="2"/>
        </w:numPr>
        <w:spacing w:after="100"/>
      </w:pPr>
      <w:r>
        <w:rPr>
          <w:rFonts w:ascii="Times New Roman" w:cs="Times New Roman" w:eastAsia="Times New Roman" w:hAnsi="Times New Roman"/>
          <w:color w:val="333333"/>
          <w:sz w:val="22"/>
          <w:szCs w:val="22"/>
        </w:rPr>
        <w:t xml:space="preserve">National ETS expansion: The PRC is progressively expanding its national ETS. Changes to the pilot ETS structures or the introduction of cross-border mechanisms could affect NIHA’s access arrangements. NIHA monitors MEE (Ministry of Ecology and Environment) publications.</w:t>
      </w:r>
    </w:p>
    <w:p>
      <w:pPr>
        <w:pStyle w:val="ListParagraph"/>
        <w:numPr>
          <w:ilvl w:val="0"/>
          <w:numId w:val="2"/>
        </w:numPr>
        <w:spacing w:after="100"/>
      </w:pPr>
      <w:r>
        <w:rPr>
          <w:rFonts w:ascii="Times New Roman" w:cs="Times New Roman" w:eastAsia="Times New Roman" w:hAnsi="Times New Roman"/>
          <w:color w:val="333333"/>
          <w:sz w:val="22"/>
          <w:szCs w:val="22"/>
        </w:rPr>
        <w:t xml:space="preserve">EU Carbon Border Adjustment Mechanism (CBAM): The EU’s CBAM, effective from 2026, may create new demand for carbon credit intermediation and conversion services but could also introduce additional compliance requirements.</w:t>
      </w:r>
    </w:p>
    <w:p>
      <w:pPr>
        <w:pStyle w:val="ListParagraph"/>
        <w:numPr>
          <w:ilvl w:val="0"/>
          <w:numId w:val="2"/>
        </w:numPr>
        <w:spacing w:after="100"/>
      </w:pPr>
      <w:r>
        <w:rPr>
          <w:rFonts w:ascii="Times New Roman" w:cs="Times New Roman" w:eastAsia="Times New Roman" w:hAnsi="Times New Roman"/>
          <w:color w:val="333333"/>
          <w:sz w:val="22"/>
          <w:szCs w:val="22"/>
        </w:rPr>
        <w:t xml:space="preserve">GBA Carbon Connect: The planned cross-border mechanism could provide new opportunities for NIHA but may also introduce regulatory requirements for participants. NIHA participates in all consultations related to this initiative.</w:t>
      </w:r>
    </w:p>
    <w:p>
      <w:pPr>
        <w:spacing w:before="400" w:after="200"/>
      </w:pPr>
      <w:r>
        <w:rPr>
          <w:rFonts w:ascii="Times New Roman" w:cs="Times New Roman" w:eastAsia="Times New Roman" w:hAnsi="Times New Roman"/>
          <w:b/>
          <w:bCs/>
          <w:color w:val="1B2A4A"/>
          <w:sz w:val="26"/>
          <w:szCs w:val="26"/>
        </w:rPr>
        <w:t xml:space="preserve">7. CONCLUSION</w:t>
      </w:r>
    </w:p>
    <w:p>
      <w:pPr>
        <w:spacing w:after="140"/>
      </w:pPr>
      <w:r>
        <w:rPr>
          <w:rFonts w:ascii="Times New Roman" w:cs="Times New Roman" w:eastAsia="Times New Roman" w:hAnsi="Times New Roman"/>
          <w:color w:val="333333"/>
          <w:sz w:val="22"/>
          <w:szCs w:val="22"/>
        </w:rPr>
        <w:t xml:space="preserve">Based on the analysis set out in this Memorandum, NIHA’s operations as a principal counterparty in bilateral OTC carbon credit transactions in Hong Kong are consistent with the current regulatory framework. No dedicated carbon trading license is required, and NIHA’s voluntary compliance measures exceed the minimum legal requirements.</w:t>
      </w:r>
    </w:p>
    <w:p>
      <w:pPr>
        <w:spacing w:after="140"/>
      </w:pPr>
      <w:r>
        <w:rPr>
          <w:rFonts w:ascii="Times New Roman" w:cs="Times New Roman" w:eastAsia="Times New Roman" w:hAnsi="Times New Roman"/>
          <w:color w:val="333333"/>
          <w:sz w:val="22"/>
          <w:szCs w:val="22"/>
        </w:rPr>
        <w:t xml:space="preserve">Hong Kong’s regulatory environment provides a structural advantage for cross-border carbon credit trading that is not available in other major financial centres, where carbon products may fall within securities regulation (EU/MiFID II) or commodity futures regulation (US/CFTC).</w:t>
      </w:r>
    </w:p>
    <w:p>
      <w:pPr>
        <w:spacing w:after="140"/>
      </w:pPr>
      <w:r>
        <w:rPr>
          <w:rFonts w:ascii="Times New Roman" w:cs="Times New Roman" w:eastAsia="Times New Roman" w:hAnsi="Times New Roman"/>
          <w:color w:val="333333"/>
          <w:sz w:val="22"/>
          <w:szCs w:val="22"/>
        </w:rPr>
        <w:t xml:space="preserve">NIHA should continue to monitor regulatory developments and maintain readiness to obtain any licenses that may be required in the future.</w:t>
      </w:r>
    </w:p>
    <w:p>
      <w:pPr>
        <w:pBdr>
          <w:top w:val="single" w:color="1B2A4A" w:sz="1" w:space="8"/>
        </w:pBdr>
        <w:spacing w:before="600"/>
      </w:pPr>
      <w:r>
        <w:rPr>
          <w:rFonts w:ascii="Times New Roman" w:cs="Times New Roman" w:eastAsia="Times New Roman" w:hAnsi="Times New Roman"/>
          <w:b/>
          <w:bCs/>
          <w:color w:val="1B2A4A"/>
          <w:sz w:val="18"/>
          <w:szCs w:val="18"/>
        </w:rPr>
        <w:t xml:space="preserve">DISCLAIMER: </w:t>
      </w:r>
      <w:r>
        <w:rPr>
          <w:rFonts w:ascii="Times New Roman" w:cs="Times New Roman" w:eastAsia="Times New Roman" w:hAnsi="Times New Roman"/>
          <w:i/>
          <w:iCs/>
          <w:color w:val="666666"/>
          <w:sz w:val="18"/>
          <w:szCs w:val="18"/>
        </w:rPr>
        <w:t xml:space="preserve">This Memorandum has been prepared for the internal use of Italy Nihao Group Limited and does not constitute legal advice. The analysis is based on the regulatory framework as of February 2026. NIHA should obtain independent legal advice from qualified Hong Kong counsel to confirm the analysis and conclusions herein before relying on them for commercial decisions.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1" w:space="4"/>
      </w:pBdr>
      <w:tabs>
        <w:tab w:val="right" w:pos="9026"/>
      </w:tabs>
    </w:pPr>
    <w:r>
      <w:rPr>
        <w:rFonts w:ascii="Times New Roman" w:cs="Times New Roman" w:eastAsia="Times New Roman" w:hAnsi="Times New Roman"/>
        <w:color w:val="666666"/>
        <w:sz w:val="14"/>
        <w:szCs w:val="14"/>
      </w:rPr>
      <w:t xml:space="preserve">Italy Nihao Group Limited — Internal Use Only</w:t>
    </w:r>
    <w:r>
      <w:rPr>
        <w:rFonts w:ascii="Times New Roman" w:cs="Times New Roman" w:eastAsia="Times New Roman" w:hAnsi="Times New Roman"/>
        <w:color w:val="666666"/>
        <w:sz w:val="14"/>
        <w:szCs w:val="14"/>
      </w:rPr>
      <w:t xml:space="preserve">	Page </w:t>
    </w:r>
    <w:r>
      <w:rPr>
        <w:rFonts w:ascii="Times New Roman" w:cs="Times New Roman" w:eastAsia="Times New Roman" w:hAnsi="Times New Roman"/>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 w:space="4"/>
      </w:pBdr>
      <w:tabs>
        <w:tab w:val="right" w:pos="9026"/>
      </w:tabs>
    </w:pPr>
    <w:r>
      <w:rPr>
        <w:rFonts w:ascii="Times New Roman" w:cs="Times New Roman" w:eastAsia="Times New Roman" w:hAnsi="Times New Roman"/>
        <w:i/>
        <w:iCs/>
        <w:color w:val="1B2A4A"/>
        <w:sz w:val="16"/>
        <w:szCs w:val="16"/>
      </w:rPr>
      <w:t xml:space="preserve">Regulatory Position Memorandum</w:t>
    </w:r>
    <w:r>
      <w:rPr>
        <w:rFonts w:ascii="Times New Roman" w:cs="Times New Roman" w:eastAsia="Times New Roman" w:hAnsi="Times New Roman"/>
        <w:b/>
        <w:bCs/>
        <w:color w:val="1B2A4A"/>
        <w:sz w:val="16"/>
        <w:szCs w:val="16"/>
      </w:rPr>
      <w:t xml:space="preserve">	CONFIDENTIAL — PRIVILEGED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2026-02-20T10:53:10.480Z</dcterms:created>
  <dcterms:modified xsi:type="dcterms:W3CDTF">2026-02-20T10:53:10.480Z</dcterms:modified>
</cp:coreProperties>
</file>

<file path=docProps/custom.xml><?xml version="1.0" encoding="utf-8"?>
<Properties xmlns="http://schemas.openxmlformats.org/officeDocument/2006/custom-properties" xmlns:vt="http://schemas.openxmlformats.org/officeDocument/2006/docPropsVTypes"/>
</file>