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Times New Roman" w:cs="Times New Roman" w:eastAsia="Times New Roman" w:hAnsi="Times New Roman"/>
          <w:b/>
          <w:bCs/>
          <w:color w:val="1B2A4A"/>
          <w:sz w:val="32"/>
          <w:szCs w:val="32"/>
        </w:rPr>
        <w:t xml:space="preserve">ITALY NIHAO GROUP LIMITED</w:t>
      </w:r>
    </w:p>
    <w:p>
      <w:pPr>
        <w:spacing w:after="200"/>
        <w:jc w:val="center"/>
      </w:pPr>
      <w:r>
        <w:rPr>
          <w:rFonts w:ascii="Times New Roman" w:cs="Times New Roman" w:eastAsia="Times New Roman" w:hAnsi="Times New Roman"/>
          <w:color w:val="666666"/>
          <w:sz w:val="20"/>
          <w:szCs w:val="20"/>
        </w:rPr>
        <w:t xml:space="preserve">Incorporated in Hong Kong SAR</w:t>
      </w:r>
    </w:p>
    <w:p>
      <w:pPr>
        <w:pBdr>
          <w:top w:val="single" w:color="CC0000" w:sz="3" w:space="12"/>
          <w:bottom w:val="single" w:color="CC0000" w:sz="3" w:space="12"/>
        </w:pBdr>
        <w:spacing w:before="600"/>
        <w:jc w:val="center"/>
      </w:pPr>
      <w:r>
        <w:rPr>
          <w:rFonts w:ascii="Times New Roman" w:cs="Times New Roman" w:eastAsia="Times New Roman" w:hAnsi="Times New Roman"/>
          <w:b/>
          <w:bCs/>
          <w:color w:val="CC0000"/>
          <w:sz w:val="36"/>
          <w:szCs w:val="36"/>
        </w:rPr>
        <w:t xml:space="preserve">RISK DISCLOSURE STATEMENT</w:t>
      </w:r>
      <w:r>
        <w:rPr>
          <w:rFonts w:ascii="Times New Roman" w:cs="Times New Roman" w:eastAsia="Times New Roman" w:hAnsi="Times New Roman"/>
          <w:color w:val="1B2A4A"/>
          <w:sz w:val="24"/>
          <w:szCs w:val="24"/>
        </w:rPr>
        <w:br/>
        <w:t xml:space="preserve">
Carbon Credit Trading and Related Services</w:t>
      </w:r>
    </w:p>
    <w:p>
      <w:pPr>
        <w:spacing w:before="400"/>
        <w:jc w:val="center"/>
      </w:pPr>
      <w:r>
        <w:rPr>
          <w:rFonts w:ascii="Times New Roman" w:cs="Times New Roman" w:eastAsia="Times New Roman" w:hAnsi="Times New Roman"/>
          <w:b/>
          <w:bCs/>
          <w:color w:val="CC0000"/>
          <w:sz w:val="22"/>
          <w:szCs w:val="22"/>
        </w:rPr>
        <w:t xml:space="preserve">IMPORTANT: THIS DOCUMENT MUST BE READ IN FULL BEFORE</w:t>
      </w:r>
      <w:r>
        <w:rPr>
          <w:rFonts w:ascii="Times New Roman" w:cs="Times New Roman" w:eastAsia="Times New Roman" w:hAnsi="Times New Roman"/>
          <w:b/>
          <w:bCs/>
          <w:color w:val="CC0000"/>
          <w:sz w:val="22"/>
          <w:szCs w:val="22"/>
        </w:rPr>
        <w:br/>
        <w:t xml:space="preserve">
ENTERING INTO ANY TRANSACTION WITH ITALY NIHAO GROUP LIMITED</w:t>
      </w:r>
    </w:p>
    <w:p>
      <w:pPr>
        <w:spacing w:before="1200"/>
        <w:jc w:val="center"/>
      </w:pPr>
      <w:r>
        <w:rPr>
          <w:rFonts w:ascii="Times New Roman" w:cs="Times New Roman" w:eastAsia="Times New Roman" w:hAnsi="Times New Roman"/>
          <w:color w:val="666666"/>
          <w:sz w:val="20"/>
          <w:szCs w:val="20"/>
        </w:rPr>
        <w:t xml:space="preserve">Document Reference: NIHA-RDS-2026-001</w:t>
      </w:r>
      <w:r>
        <w:rPr>
          <w:rFonts w:ascii="Times New Roman" w:cs="Times New Roman" w:eastAsia="Times New Roman" w:hAnsi="Times New Roman"/>
          <w:color w:val="666666"/>
          <w:sz w:val="20"/>
          <w:szCs w:val="20"/>
        </w:rPr>
        <w:br/>
        <w:t xml:space="preserve">
Version 1.0 — February 2026</w:t>
      </w:r>
    </w:p>
    <w:p>
      <w:r>
        <w:br w:type="page"/>
      </w:r>
    </w:p>
    <w:p>
      <w:pPr>
        <w:pBdr>
          <w:bottom w:val="single" w:color="1B2A4A" w:sz="2" w:space="6"/>
        </w:pBdr>
        <w:spacing w:before="400" w:after="240"/>
      </w:pPr>
      <w:r>
        <w:rPr>
          <w:rFonts w:ascii="Times New Roman" w:cs="Times New Roman" w:eastAsia="Times New Roman" w:hAnsi="Times New Roman"/>
          <w:b/>
          <w:bCs/>
          <w:color w:val="1B2A4A"/>
          <w:sz w:val="28"/>
          <w:szCs w:val="28"/>
        </w:rPr>
        <w:t xml:space="preserve">1. PURPOSE AND SCOPE OF THIS DOCUMENT</w:t>
      </w:r>
    </w:p>
    <w:p>
      <w:pPr>
        <w:spacing w:after="140"/>
      </w:pPr>
      <w:r>
        <w:rPr>
          <w:rFonts w:ascii="Times New Roman" w:cs="Times New Roman" w:eastAsia="Times New Roman" w:hAnsi="Times New Roman"/>
          <w:color w:val="333333"/>
          <w:sz w:val="22"/>
          <w:szCs w:val="22"/>
        </w:rPr>
        <w:t xml:space="preserve">This Risk Disclosure Statement (“Statement”) is issued by Italy Nihao Group Limited (“NIHA”) to provide prospective and existing clients with a comprehensive description of the risks associated with carbon credit trading and related services offered by NIHA.</w:t>
      </w:r>
    </w:p>
    <w:p>
      <w:pPr>
        <w:spacing w:after="140"/>
      </w:pPr>
      <w:r>
        <w:rPr>
          <w:rFonts w:ascii="Times New Roman" w:cs="Times New Roman" w:eastAsia="Times New Roman" w:hAnsi="Times New Roman"/>
          <w:color w:val="333333"/>
          <w:sz w:val="22"/>
          <w:szCs w:val="22"/>
        </w:rPr>
        <w:t xml:space="preserve">This Statement does not purport to disclose all risks and other significant aspects of carbon credit trading. Clients should not rely solely on this document and should undertake their own independent assessment of risks, consulting professional advisers (including legal, tax, and financial advisers) where appropriate.</w:t>
      </w:r>
    </w:p>
    <w:p>
      <w:pPr>
        <w:pBdr>
          <w:left w:val="single" w:color="CC0000" w:sz="6" w:space="8"/>
        </w:pBdr>
        <w:spacing w:after="140"/>
        <w:ind w:left="360" w:right="360"/>
      </w:pPr>
      <w:r>
        <w:rPr>
          <w:rFonts w:ascii="Times New Roman" w:cs="Times New Roman" w:eastAsia="Times New Roman" w:hAnsi="Times New Roman"/>
          <w:b/>
          <w:bCs/>
          <w:color w:val="CC0000"/>
          <w:sz w:val="22"/>
          <w:szCs w:val="22"/>
        </w:rPr>
        <w:t xml:space="preserve">WARNING: </w:t>
      </w:r>
      <w:r>
        <w:rPr>
          <w:rFonts w:ascii="Times New Roman" w:cs="Times New Roman" w:eastAsia="Times New Roman" w:hAnsi="Times New Roman"/>
          <w:color w:val="333333"/>
          <w:sz w:val="22"/>
          <w:szCs w:val="22"/>
        </w:rPr>
        <w:t xml:space="preserve">Carbon credit trading involves substantial risk of financial loss. The value of carbon credits can fluctuate significantly and may decline to zero. Past performance is not indicative of future results. You should not invest funds that you cannot afford to lose.</w:t>
      </w:r>
    </w:p>
    <w:p>
      <w:pPr>
        <w:pBdr>
          <w:bottom w:val="single" w:color="1B2A4A" w:sz="2" w:space="6"/>
        </w:pBdr>
        <w:spacing w:before="400" w:after="240"/>
      </w:pPr>
      <w:r>
        <w:rPr>
          <w:rFonts w:ascii="Times New Roman" w:cs="Times New Roman" w:eastAsia="Times New Roman" w:hAnsi="Times New Roman"/>
          <w:b/>
          <w:bCs/>
          <w:color w:val="1B2A4A"/>
          <w:sz w:val="28"/>
          <w:szCs w:val="28"/>
        </w:rPr>
        <w:t xml:space="preserve">2. GENERAL MARKET RISKS</w:t>
      </w:r>
    </w:p>
    <w:p>
      <w:pPr>
        <w:spacing w:before="280" w:after="160"/>
      </w:pPr>
      <w:r>
        <w:rPr>
          <w:rFonts w:ascii="Times New Roman" w:cs="Times New Roman" w:eastAsia="Times New Roman" w:hAnsi="Times New Roman"/>
          <w:b/>
          <w:bCs/>
          <w:color w:val="2E75B6"/>
          <w:sz w:val="24"/>
          <w:szCs w:val="24"/>
        </w:rPr>
        <w:t xml:space="preserve">2.1 Price Volatility</w:t>
      </w:r>
    </w:p>
    <w:p>
      <w:pPr>
        <w:spacing w:after="140"/>
      </w:pPr>
      <w:r>
        <w:rPr>
          <w:rFonts w:ascii="Times New Roman" w:cs="Times New Roman" w:eastAsia="Times New Roman" w:hAnsi="Times New Roman"/>
          <w:color w:val="333333"/>
          <w:sz w:val="22"/>
          <w:szCs w:val="22"/>
        </w:rPr>
        <w:t xml:space="preserve">Carbon credit prices are subject to significant volatility driven by regulatory announcements, supply and demand dynamics, seasonal factors, geopolitical events, and macroeconomic conditions. EU Allowance (EUA) prices have historically experienced annual volatility in excess of 30%, and Chinese Emission Allowance (CEA) prices are subject to similar or greater fluctuation.</w:t>
      </w:r>
    </w:p>
    <w:p>
      <w:pPr>
        <w:pBdr>
          <w:left w:val="single" w:color="CC0000" w:sz="6" w:space="8"/>
        </w:pBdr>
        <w:spacing w:after="140"/>
        <w:ind w:left="360" w:right="360"/>
      </w:pPr>
      <w:r>
        <w:rPr>
          <w:rFonts w:ascii="Times New Roman" w:cs="Times New Roman" w:eastAsia="Times New Roman" w:hAnsi="Times New Roman"/>
          <w:b/>
          <w:bCs/>
          <w:color w:val="CC0000"/>
          <w:sz w:val="22"/>
          <w:szCs w:val="22"/>
        </w:rPr>
        <w:t xml:space="preserve">WARNING: </w:t>
      </w:r>
      <w:r>
        <w:rPr>
          <w:rFonts w:ascii="Times New Roman" w:cs="Times New Roman" w:eastAsia="Times New Roman" w:hAnsi="Times New Roman"/>
          <w:color w:val="333333"/>
          <w:sz w:val="22"/>
          <w:szCs w:val="22"/>
        </w:rPr>
        <w:t xml:space="preserve">There is no guarantee that carbon credits will maintain their value. Price declines of 50% or more within a single calendar year have occurred in established carbon markets.</w:t>
      </w:r>
    </w:p>
    <w:p>
      <w:pPr>
        <w:spacing w:before="280" w:after="160"/>
      </w:pPr>
      <w:r>
        <w:rPr>
          <w:rFonts w:ascii="Times New Roman" w:cs="Times New Roman" w:eastAsia="Times New Roman" w:hAnsi="Times New Roman"/>
          <w:b/>
          <w:bCs/>
          <w:color w:val="2E75B6"/>
          <w:sz w:val="24"/>
          <w:szCs w:val="24"/>
        </w:rPr>
        <w:t xml:space="preserve">2.2 Liquidity Risk</w:t>
      </w:r>
    </w:p>
    <w:p>
      <w:pPr>
        <w:spacing w:after="140"/>
      </w:pPr>
      <w:r>
        <w:rPr>
          <w:rFonts w:ascii="Times New Roman" w:cs="Times New Roman" w:eastAsia="Times New Roman" w:hAnsi="Times New Roman"/>
          <w:color w:val="333333"/>
          <w:sz w:val="22"/>
          <w:szCs w:val="22"/>
        </w:rPr>
        <w:t xml:space="preserve">Carbon credit markets may experience periods of reduced liquidity, particularly for less actively traded instruments, pilot market allocations, or during periods of market stress. Reduced liquidity may result in wider bid-ask spreads, delayed settlement, inability to execute transactions at desired prices, or inability to execute transactions at all.</w:t>
      </w:r>
    </w:p>
    <w:p>
      <w:pPr>
        <w:spacing w:before="280" w:after="160"/>
      </w:pPr>
      <w:r>
        <w:rPr>
          <w:rFonts w:ascii="Times New Roman" w:cs="Times New Roman" w:eastAsia="Times New Roman" w:hAnsi="Times New Roman"/>
          <w:b/>
          <w:bCs/>
          <w:color w:val="2E75B6"/>
          <w:sz w:val="24"/>
          <w:szCs w:val="24"/>
        </w:rPr>
        <w:t xml:space="preserve">2.3 Market Disruption Risk</w:t>
      </w:r>
    </w:p>
    <w:p>
      <w:pPr>
        <w:spacing w:after="140"/>
      </w:pPr>
      <w:r>
        <w:rPr>
          <w:rFonts w:ascii="Times New Roman" w:cs="Times New Roman" w:eastAsia="Times New Roman" w:hAnsi="Times New Roman"/>
          <w:color w:val="333333"/>
          <w:sz w:val="22"/>
          <w:szCs w:val="22"/>
        </w:rPr>
        <w:t xml:space="preserve">Carbon markets may be subject to trading suspensions, circuit breakers, or market closures imposed by exchange operators, regulatory authorities, or registry administrators. Such disruptions may occur without advance notice and may prevent the execution, settlement, or delivery of pending transactions.</w:t>
      </w:r>
    </w:p>
    <w:p>
      <w:r>
        <w:br w:type="page"/>
      </w:r>
    </w:p>
    <w:p>
      <w:pPr>
        <w:pBdr>
          <w:bottom w:val="single" w:color="1B2A4A" w:sz="2" w:space="6"/>
        </w:pBdr>
        <w:spacing w:before="400" w:after="240"/>
      </w:pPr>
      <w:r>
        <w:rPr>
          <w:rFonts w:ascii="Times New Roman" w:cs="Times New Roman" w:eastAsia="Times New Roman" w:hAnsi="Times New Roman"/>
          <w:b/>
          <w:bCs/>
          <w:color w:val="1B2A4A"/>
          <w:sz w:val="28"/>
          <w:szCs w:val="28"/>
        </w:rPr>
        <w:t xml:space="preserve">3. REGULATORY AND LEGAL RISKS</w:t>
      </w:r>
    </w:p>
    <w:p>
      <w:pPr>
        <w:spacing w:before="280" w:after="160"/>
      </w:pPr>
      <w:r>
        <w:rPr>
          <w:rFonts w:ascii="Times New Roman" w:cs="Times New Roman" w:eastAsia="Times New Roman" w:hAnsi="Times New Roman"/>
          <w:b/>
          <w:bCs/>
          <w:color w:val="2E75B6"/>
          <w:sz w:val="24"/>
          <w:szCs w:val="24"/>
        </w:rPr>
        <w:t xml:space="preserve">3.1 Regulatory Change Risk</w:t>
      </w:r>
    </w:p>
    <w:p>
      <w:pPr>
        <w:spacing w:after="140"/>
      </w:pPr>
      <w:r>
        <w:rPr>
          <w:rFonts w:ascii="Times New Roman" w:cs="Times New Roman" w:eastAsia="Times New Roman" w:hAnsi="Times New Roman"/>
          <w:color w:val="333333"/>
          <w:sz w:val="22"/>
          <w:szCs w:val="22"/>
        </w:rPr>
        <w:t xml:space="preserve">Carbon markets operate within regulatory frameworks that are subject to change. Governments and supranational bodies may at any time introduce new legislation, amend existing regulations, or modify the scope of emissions trading systems in ways that materially affect the value, transferability, or validity of carbon credits.</w:t>
      </w:r>
    </w:p>
    <w:p>
      <w:pPr>
        <w:pStyle w:val="ListParagraph"/>
        <w:numPr>
          <w:ilvl w:val="0"/>
          <w:numId w:val="2"/>
        </w:numPr>
        <w:spacing w:after="120"/>
      </w:pPr>
      <w:r>
        <w:rPr>
          <w:rFonts w:ascii="Times New Roman" w:cs="Times New Roman" w:eastAsia="Times New Roman" w:hAnsi="Times New Roman"/>
          <w:color w:val="333333"/>
          <w:sz w:val="22"/>
          <w:szCs w:val="22"/>
        </w:rPr>
        <w:t xml:space="preserve">The European Union may adjust the cap on EUA allocations, modify the Market Stability Reserve mechanism, or change eligibility criteria under the EU ETS.</w:t>
      </w:r>
    </w:p>
    <w:p>
      <w:pPr>
        <w:pStyle w:val="ListParagraph"/>
        <w:numPr>
          <w:ilvl w:val="0"/>
          <w:numId w:val="2"/>
        </w:numPr>
        <w:spacing w:after="120"/>
      </w:pPr>
      <w:r>
        <w:rPr>
          <w:rFonts w:ascii="Times New Roman" w:cs="Times New Roman" w:eastAsia="Times New Roman" w:hAnsi="Times New Roman"/>
          <w:color w:val="333333"/>
          <w:sz w:val="22"/>
          <w:szCs w:val="22"/>
        </w:rPr>
        <w:t xml:space="preserve">The People’s Republic of China may modify its national ETS design, adjust pilot scheme rules, restrict foreign participation, or impose new qualification requirements for market participants.</w:t>
      </w:r>
    </w:p>
    <w:p>
      <w:pPr>
        <w:pStyle w:val="ListParagraph"/>
        <w:numPr>
          <w:ilvl w:val="0"/>
          <w:numId w:val="2"/>
        </w:numPr>
        <w:spacing w:after="120"/>
      </w:pPr>
      <w:r>
        <w:rPr>
          <w:rFonts w:ascii="Times New Roman" w:cs="Times New Roman" w:eastAsia="Times New Roman" w:hAnsi="Times New Roman"/>
          <w:color w:val="333333"/>
          <w:sz w:val="22"/>
          <w:szCs w:val="22"/>
        </w:rPr>
        <w:t xml:space="preserve">Hong Kong SAR may introduce a licensing regime applicable to carbon credit intermediaries or may reclassify certain carbon credits as regulated products under the applicable securities and futures legislation in Hong Kong.</w:t>
      </w:r>
    </w:p>
    <w:p>
      <w:pPr>
        <w:spacing w:before="280" w:after="160"/>
      </w:pPr>
      <w:r>
        <w:rPr>
          <w:rFonts w:ascii="Times New Roman" w:cs="Times New Roman" w:eastAsia="Times New Roman" w:hAnsi="Times New Roman"/>
          <w:b/>
          <w:bCs/>
          <w:color w:val="2E75B6"/>
          <w:sz w:val="24"/>
          <w:szCs w:val="24"/>
        </w:rPr>
        <w:t xml:space="preserve">3.2 Cross-Border Legal Risk</w:t>
      </w:r>
    </w:p>
    <w:p>
      <w:pPr>
        <w:spacing w:after="140"/>
      </w:pPr>
      <w:r>
        <w:rPr>
          <w:rFonts w:ascii="Times New Roman" w:cs="Times New Roman" w:eastAsia="Times New Roman" w:hAnsi="Times New Roman"/>
          <w:color w:val="333333"/>
          <w:sz w:val="22"/>
          <w:szCs w:val="22"/>
        </w:rPr>
        <w:t xml:space="preserve">Carbon credit transactions facilitated by NIHA may involve parties and assets in multiple jurisdictions with differing legal systems. The enforceability of contractual rights, the validity of carbon credit ownership, and the availability of legal remedies may vary significantly depending on the applicable jurisdiction.</w:t>
      </w:r>
    </w:p>
    <w:p>
      <w:pPr>
        <w:spacing w:before="280" w:after="160"/>
      </w:pPr>
      <w:r>
        <w:rPr>
          <w:rFonts w:ascii="Times New Roman" w:cs="Times New Roman" w:eastAsia="Times New Roman" w:hAnsi="Times New Roman"/>
          <w:b/>
          <w:bCs/>
          <w:color w:val="2E75B6"/>
          <w:sz w:val="24"/>
          <w:szCs w:val="24"/>
        </w:rPr>
        <w:t xml:space="preserve">3.3 Tax Risk</w:t>
      </w:r>
    </w:p>
    <w:p>
      <w:pPr>
        <w:spacing w:after="140"/>
      </w:pPr>
      <w:r>
        <w:rPr>
          <w:rFonts w:ascii="Times New Roman" w:cs="Times New Roman" w:eastAsia="Times New Roman" w:hAnsi="Times New Roman"/>
          <w:color w:val="333333"/>
          <w:sz w:val="22"/>
          <w:szCs w:val="22"/>
        </w:rPr>
        <w:t xml:space="preserve">The tax treatment of carbon credit transactions is evolving and varies across jurisdictions. Profits, losses, and transfers of carbon credits may be subject to income tax, capital gains tax, value-added tax, or other levies depending on the applicable jurisdiction. NIHA does not provide tax advice and clients are solely responsible for understanding and complying with applicable tax obligations.</w:t>
      </w:r>
    </w:p>
    <w:p>
      <w:pPr>
        <w:spacing w:before="280" w:after="160"/>
      </w:pPr>
      <w:r>
        <w:rPr>
          <w:rFonts w:ascii="Times New Roman" w:cs="Times New Roman" w:eastAsia="Times New Roman" w:hAnsi="Times New Roman"/>
          <w:b/>
          <w:bCs/>
          <w:color w:val="2E75B6"/>
          <w:sz w:val="24"/>
          <w:szCs w:val="24"/>
        </w:rPr>
        <w:t xml:space="preserve">3.4 Sanctions and Compliance Risk</w:t>
      </w:r>
    </w:p>
    <w:p>
      <w:pPr>
        <w:spacing w:after="140"/>
      </w:pPr>
      <w:r>
        <w:rPr>
          <w:rFonts w:ascii="Times New Roman" w:cs="Times New Roman" w:eastAsia="Times New Roman" w:hAnsi="Times New Roman"/>
          <w:color w:val="333333"/>
          <w:sz w:val="22"/>
          <w:szCs w:val="22"/>
        </w:rPr>
        <w:t xml:space="preserve">NIHA is obliged to comply with applicable sanctions regimes, including those administered by the United Nations, European Union, United States (applicable international sanctions regimes), United Kingdom, and Hong Kong SAR. Where a transaction, counterparty, or beneficial owner is identified as being subject to sanctions, NIHA may be required to freeze assets, decline to execute transactions, or terminate the business relationship without liability.</w:t>
      </w:r>
    </w:p>
    <w:p>
      <w:r>
        <w:br w:type="page"/>
      </w:r>
    </w:p>
    <w:p>
      <w:pPr>
        <w:pBdr>
          <w:bottom w:val="single" w:color="1B2A4A" w:sz="2" w:space="6"/>
        </w:pBdr>
        <w:spacing w:before="400" w:after="240"/>
      </w:pPr>
      <w:r>
        <w:rPr>
          <w:rFonts w:ascii="Times New Roman" w:cs="Times New Roman" w:eastAsia="Times New Roman" w:hAnsi="Times New Roman"/>
          <w:b/>
          <w:bCs/>
          <w:color w:val="1B2A4A"/>
          <w:sz w:val="28"/>
          <w:szCs w:val="28"/>
        </w:rPr>
        <w:t xml:space="preserve">4. OPERATIONAL AND COUNTERPARTY RISKS</w:t>
      </w:r>
    </w:p>
    <w:p>
      <w:pPr>
        <w:spacing w:before="280" w:after="160"/>
      </w:pPr>
      <w:r>
        <w:rPr>
          <w:rFonts w:ascii="Times New Roman" w:cs="Times New Roman" w:eastAsia="Times New Roman" w:hAnsi="Times New Roman"/>
          <w:b/>
          <w:bCs/>
          <w:color w:val="2E75B6"/>
          <w:sz w:val="24"/>
          <w:szCs w:val="24"/>
        </w:rPr>
        <w:t xml:space="preserve">4.1 Registry and Infrastructure Risk</w:t>
      </w:r>
    </w:p>
    <w:p>
      <w:pPr>
        <w:spacing w:after="140"/>
      </w:pPr>
      <w:r>
        <w:rPr>
          <w:rFonts w:ascii="Times New Roman" w:cs="Times New Roman" w:eastAsia="Times New Roman" w:hAnsi="Times New Roman"/>
          <w:color w:val="333333"/>
          <w:sz w:val="22"/>
          <w:szCs w:val="22"/>
        </w:rPr>
        <w:t xml:space="preserve">Carbon credits exist as entries in electronic registries maintained by third-party operators. The security, availability, and accuracy of these registries are beyond NIHA’s control. Registry outages, data corruption, cyber-attacks, or administrative errors may result in delayed settlement, loss of records, or disputed ownership.</w:t>
      </w:r>
    </w:p>
    <w:p>
      <w:pPr>
        <w:spacing w:before="280" w:after="160"/>
      </w:pPr>
      <w:r>
        <w:rPr>
          <w:rFonts w:ascii="Times New Roman" w:cs="Times New Roman" w:eastAsia="Times New Roman" w:hAnsi="Times New Roman"/>
          <w:b/>
          <w:bCs/>
          <w:color w:val="2E75B6"/>
          <w:sz w:val="24"/>
          <w:szCs w:val="24"/>
        </w:rPr>
        <w:t xml:space="preserve">4.2 Settlement Risk</w:t>
      </w:r>
    </w:p>
    <w:p>
      <w:pPr>
        <w:spacing w:after="140"/>
      </w:pPr>
      <w:r>
        <w:rPr>
          <w:rFonts w:ascii="Times New Roman" w:cs="Times New Roman" w:eastAsia="Times New Roman" w:hAnsi="Times New Roman"/>
          <w:color w:val="333333"/>
          <w:sz w:val="22"/>
          <w:szCs w:val="22"/>
        </w:rPr>
        <w:t xml:space="preserve">Carbon credit transactions involve the exchange of carbon credits for payment. Where settlement is not conducted on a delivery-versus-payment (DVP) basis, there is a risk that one party may fulfil its obligation while the other party defaults. Cross-border transactions may involve additional settlement risks due to time zone differences, currency conversion, and intermediary bank processing times.</w:t>
      </w:r>
    </w:p>
    <w:p>
      <w:pPr>
        <w:spacing w:before="280" w:after="160"/>
      </w:pPr>
      <w:r>
        <w:rPr>
          <w:rFonts w:ascii="Times New Roman" w:cs="Times New Roman" w:eastAsia="Times New Roman" w:hAnsi="Times New Roman"/>
          <w:b/>
          <w:bCs/>
          <w:color w:val="2E75B6"/>
          <w:sz w:val="24"/>
          <w:szCs w:val="24"/>
        </w:rPr>
        <w:t xml:space="preserve">4.3 Counterparty Risk</w:t>
      </w:r>
    </w:p>
    <w:p>
      <w:pPr>
        <w:spacing w:after="140"/>
      </w:pPr>
      <w:r>
        <w:rPr>
          <w:rFonts w:ascii="Times New Roman" w:cs="Times New Roman" w:eastAsia="Times New Roman" w:hAnsi="Times New Roman"/>
          <w:color w:val="333333"/>
          <w:sz w:val="22"/>
          <w:szCs w:val="22"/>
        </w:rPr>
        <w:t xml:space="preserve">NIHA operates as a principal counterparty in carbon credit transactions. Accordingly, clients bear exposure to NIHA’s creditworthiness and operational continuity. While NIHA maintains segregated client accounts and appropriate capital reserves, there can be no guarantee that NIHA will at all times be able to meet its obligations.</w:t>
      </w:r>
    </w:p>
    <w:p>
      <w:pPr>
        <w:pBdr>
          <w:left w:val="single" w:color="CC0000" w:sz="6" w:space="8"/>
        </w:pBdr>
        <w:spacing w:after="140"/>
        <w:ind w:left="360" w:right="360"/>
      </w:pPr>
      <w:r>
        <w:rPr>
          <w:rFonts w:ascii="Times New Roman" w:cs="Times New Roman" w:eastAsia="Times New Roman" w:hAnsi="Times New Roman"/>
          <w:b/>
          <w:bCs/>
          <w:color w:val="CC0000"/>
          <w:sz w:val="22"/>
          <w:szCs w:val="22"/>
        </w:rPr>
        <w:t xml:space="preserve">WARNING: </w:t>
      </w:r>
      <w:r>
        <w:rPr>
          <w:rFonts w:ascii="Times New Roman" w:cs="Times New Roman" w:eastAsia="Times New Roman" w:hAnsi="Times New Roman"/>
          <w:color w:val="333333"/>
          <w:sz w:val="22"/>
          <w:szCs w:val="22"/>
        </w:rPr>
        <w:t xml:space="preserve">In the event of NIHA’s insolvency, client assets may be subject to claims by creditors notwithstanding the segregation measures described in the Custody Agreement. The legal protection afforded to beneficial interests in carbon credits may vary by jurisdiction and has not been tested in all relevant courts.</w:t>
      </w:r>
    </w:p>
    <w:p>
      <w:pPr>
        <w:spacing w:before="280" w:after="160"/>
      </w:pPr>
      <w:r>
        <w:rPr>
          <w:rFonts w:ascii="Times New Roman" w:cs="Times New Roman" w:eastAsia="Times New Roman" w:hAnsi="Times New Roman"/>
          <w:b/>
          <w:bCs/>
          <w:color w:val="2E75B6"/>
          <w:sz w:val="24"/>
          <w:szCs w:val="24"/>
        </w:rPr>
        <w:t xml:space="preserve">4.4 Technology and Cyber Risk</w:t>
      </w:r>
    </w:p>
    <w:p>
      <w:pPr>
        <w:spacing w:after="140"/>
      </w:pPr>
      <w:r>
        <w:rPr>
          <w:rFonts w:ascii="Times New Roman" w:cs="Times New Roman" w:eastAsia="Times New Roman" w:hAnsi="Times New Roman"/>
          <w:color w:val="333333"/>
          <w:sz w:val="22"/>
          <w:szCs w:val="22"/>
        </w:rPr>
        <w:t xml:space="preserve">NIHA’s operations depend upon the proper functioning of its technology systems, including trading platforms, communication networks, and data storage. System failures, software errors, cyber-attacks, or data breaches may disrupt services, delay transactions, or compromise the confidentiality of client information.</w:t>
      </w:r>
    </w:p>
    <w:p>
      <w:r>
        <w:br w:type="page"/>
      </w:r>
    </w:p>
    <w:p>
      <w:pPr>
        <w:pBdr>
          <w:bottom w:val="single" w:color="1B2A4A" w:sz="2" w:space="6"/>
        </w:pBdr>
        <w:spacing w:before="400" w:after="240"/>
      </w:pPr>
      <w:r>
        <w:rPr>
          <w:rFonts w:ascii="Times New Roman" w:cs="Times New Roman" w:eastAsia="Times New Roman" w:hAnsi="Times New Roman"/>
          <w:b/>
          <w:bCs/>
          <w:color w:val="1B2A4A"/>
          <w:sz w:val="28"/>
          <w:szCs w:val="28"/>
        </w:rPr>
        <w:t xml:space="preserve">5. CROSS-BORDER AND CONVERSION RISKS</w:t>
      </w:r>
    </w:p>
    <w:p>
      <w:pPr>
        <w:spacing w:before="280" w:after="160"/>
      </w:pPr>
      <w:r>
        <w:rPr>
          <w:rFonts w:ascii="Times New Roman" w:cs="Times New Roman" w:eastAsia="Times New Roman" w:hAnsi="Times New Roman"/>
          <w:b/>
          <w:bCs/>
          <w:color w:val="2E75B6"/>
          <w:sz w:val="24"/>
          <w:szCs w:val="24"/>
        </w:rPr>
        <w:t xml:space="preserve">5.1 CEA-EUA Conversion Risk</w:t>
      </w:r>
    </w:p>
    <w:p>
      <w:pPr>
        <w:spacing w:after="140"/>
      </w:pPr>
      <w:r>
        <w:rPr>
          <w:rFonts w:ascii="Times New Roman" w:cs="Times New Roman" w:eastAsia="Times New Roman" w:hAnsi="Times New Roman"/>
          <w:color w:val="333333"/>
          <w:sz w:val="22"/>
          <w:szCs w:val="22"/>
        </w:rPr>
        <w:t xml:space="preserve">NIHA offers a service enabling conversion between Chinese Emission Allowances (CEA) and EU Allowances (EUA). This conversion is not a direct exchange recognised by any regulatory authority but rather a bilateral transaction facilitated by NIHA acting as principal counterparty. The conversion ratio is determined by market conditions and NIHA’s pricing methodology and may not reflect the theoretical economic equivalent of the underlying emissions obligations.</w:t>
      </w:r>
    </w:p>
    <w:p>
      <w:pPr>
        <w:pBdr>
          <w:left w:val="single" w:color="CC0000" w:sz="6" w:space="8"/>
        </w:pBdr>
        <w:spacing w:after="140"/>
        <w:ind w:left="360" w:right="360"/>
      </w:pPr>
      <w:r>
        <w:rPr>
          <w:rFonts w:ascii="Times New Roman" w:cs="Times New Roman" w:eastAsia="Times New Roman" w:hAnsi="Times New Roman"/>
          <w:b/>
          <w:bCs/>
          <w:color w:val="CC0000"/>
          <w:sz w:val="22"/>
          <w:szCs w:val="22"/>
        </w:rPr>
        <w:t xml:space="preserve">WARNING: </w:t>
      </w:r>
      <w:r>
        <w:rPr>
          <w:rFonts w:ascii="Times New Roman" w:cs="Times New Roman" w:eastAsia="Times New Roman" w:hAnsi="Times New Roman"/>
          <w:color w:val="333333"/>
          <w:sz w:val="22"/>
          <w:szCs w:val="22"/>
        </w:rPr>
        <w:t xml:space="preserve">The CEA-EUA conversion service is a bilateral arrangement with NIHA as counterparty. There is no official exchange rate between these instruments, and the conversion ratio offered by NIHA includes a service margin.</w:t>
      </w:r>
    </w:p>
    <w:p>
      <w:pPr>
        <w:spacing w:before="280" w:after="160"/>
      </w:pPr>
      <w:r>
        <w:rPr>
          <w:rFonts w:ascii="Times New Roman" w:cs="Times New Roman" w:eastAsia="Times New Roman" w:hAnsi="Times New Roman"/>
          <w:b/>
          <w:bCs/>
          <w:color w:val="2E75B6"/>
          <w:sz w:val="24"/>
          <w:szCs w:val="24"/>
        </w:rPr>
        <w:t xml:space="preserve">5.2 Foreign Exchange Risk</w:t>
      </w:r>
    </w:p>
    <w:p>
      <w:pPr>
        <w:spacing w:after="140"/>
      </w:pPr>
      <w:r>
        <w:rPr>
          <w:rFonts w:ascii="Times New Roman" w:cs="Times New Roman" w:eastAsia="Times New Roman" w:hAnsi="Times New Roman"/>
          <w:color w:val="333333"/>
          <w:sz w:val="22"/>
          <w:szCs w:val="22"/>
        </w:rPr>
        <w:t xml:space="preserve">Where transactions involve currencies other than the client’s base currency, the client bears foreign exchange risk. Fluctuations in exchange rates (including EUR, CNY, HKD, and USD) may affect the value of carbon credit holdings, settlement amounts, and the overall return on investment.</w:t>
      </w:r>
    </w:p>
    <w:p>
      <w:pPr>
        <w:spacing w:before="280" w:after="160"/>
      </w:pPr>
      <w:r>
        <w:rPr>
          <w:rFonts w:ascii="Times New Roman" w:cs="Times New Roman" w:eastAsia="Times New Roman" w:hAnsi="Times New Roman"/>
          <w:b/>
          <w:bCs/>
          <w:color w:val="2E75B6"/>
          <w:sz w:val="24"/>
          <w:szCs w:val="24"/>
        </w:rPr>
        <w:t xml:space="preserve">5.3 Capital Controls and Transfer Risk</w:t>
      </w:r>
    </w:p>
    <w:p>
      <w:pPr>
        <w:spacing w:after="140"/>
      </w:pPr>
      <w:r>
        <w:rPr>
          <w:rFonts w:ascii="Times New Roman" w:cs="Times New Roman" w:eastAsia="Times New Roman" w:hAnsi="Times New Roman"/>
          <w:color w:val="333333"/>
          <w:sz w:val="22"/>
          <w:szCs w:val="22"/>
        </w:rPr>
        <w:t xml:space="preserve">Certain jurisdictions, including the People’s Republic of China, impose restrictions on cross-border capital movements. These restrictions may limit the ability to remit funds, transfer carbon credits, or repatriate proceeds from carbon credit transactions. Changes to capital control regulations may occur without advance notice.</w:t>
      </w:r>
    </w:p>
    <w:p>
      <w:pPr>
        <w:pBdr>
          <w:bottom w:val="single" w:color="1B2A4A" w:sz="2" w:space="6"/>
        </w:pBdr>
        <w:spacing w:before="400" w:after="240"/>
      </w:pPr>
      <w:r>
        <w:rPr>
          <w:rFonts w:ascii="Times New Roman" w:cs="Times New Roman" w:eastAsia="Times New Roman" w:hAnsi="Times New Roman"/>
          <w:b/>
          <w:bCs/>
          <w:color w:val="1B2A4A"/>
          <w:sz w:val="28"/>
          <w:szCs w:val="28"/>
        </w:rPr>
        <w:t xml:space="preserve">6. RISK OF TOTAL LOSS</w:t>
      </w:r>
    </w:p>
    <w:p>
      <w:pPr>
        <w:spacing w:after="140"/>
      </w:pPr>
      <w:r>
        <w:rPr>
          <w:rFonts w:ascii="Times New Roman" w:cs="Times New Roman" w:eastAsia="Times New Roman" w:hAnsi="Times New Roman"/>
          <w:color w:val="333333"/>
          <w:sz w:val="22"/>
          <w:szCs w:val="22"/>
        </w:rPr>
        <w:t xml:space="preserve">It is possible that the entire value of a client’s carbon credit portfolio may be lost. This may occur as a result of, but not limited to, the following scenarios:</w:t>
      </w:r>
    </w:p>
    <w:p>
      <w:pPr>
        <w:pStyle w:val="ListParagraph"/>
        <w:numPr>
          <w:ilvl w:val="0"/>
          <w:numId w:val="2"/>
        </w:numPr>
        <w:spacing w:after="120"/>
      </w:pPr>
      <w:r>
        <w:rPr>
          <w:rFonts w:ascii="Times New Roman" w:cs="Times New Roman" w:eastAsia="Times New Roman" w:hAnsi="Times New Roman"/>
          <w:color w:val="333333"/>
          <w:sz w:val="22"/>
          <w:szCs w:val="22"/>
        </w:rPr>
        <w:t xml:space="preserve">Regulatory action that renders carbon credits invalid, non-transferable, or worthless.</w:t>
      </w:r>
    </w:p>
    <w:p>
      <w:pPr>
        <w:pStyle w:val="ListParagraph"/>
        <w:numPr>
          <w:ilvl w:val="0"/>
          <w:numId w:val="2"/>
        </w:numPr>
        <w:spacing w:after="120"/>
      </w:pPr>
      <w:r>
        <w:rPr>
          <w:rFonts w:ascii="Times New Roman" w:cs="Times New Roman" w:eastAsia="Times New Roman" w:hAnsi="Times New Roman"/>
          <w:color w:val="333333"/>
          <w:sz w:val="22"/>
          <w:szCs w:val="22"/>
        </w:rPr>
        <w:t xml:space="preserve">Permanent closure or discontinuation of a carbon trading scheme or registry.</w:t>
      </w:r>
    </w:p>
    <w:p>
      <w:pPr>
        <w:pStyle w:val="ListParagraph"/>
        <w:numPr>
          <w:ilvl w:val="0"/>
          <w:numId w:val="2"/>
        </w:numPr>
        <w:spacing w:after="120"/>
      </w:pPr>
      <w:r>
        <w:rPr>
          <w:rFonts w:ascii="Times New Roman" w:cs="Times New Roman" w:eastAsia="Times New Roman" w:hAnsi="Times New Roman"/>
          <w:color w:val="333333"/>
          <w:sz w:val="22"/>
          <w:szCs w:val="22"/>
        </w:rPr>
        <w:t xml:space="preserve">Fraud, misrepresentation, or error in the issuance or verification of carbon credits.</w:t>
      </w:r>
    </w:p>
    <w:p>
      <w:pPr>
        <w:pStyle w:val="ListParagraph"/>
        <w:numPr>
          <w:ilvl w:val="0"/>
          <w:numId w:val="2"/>
        </w:numPr>
        <w:spacing w:after="120"/>
      </w:pPr>
      <w:r>
        <w:rPr>
          <w:rFonts w:ascii="Times New Roman" w:cs="Times New Roman" w:eastAsia="Times New Roman" w:hAnsi="Times New Roman"/>
          <w:color w:val="333333"/>
          <w:sz w:val="22"/>
          <w:szCs w:val="22"/>
        </w:rPr>
        <w:t xml:space="preserve">Insolvency or default of NIHA or a counterparty.</w:t>
      </w:r>
    </w:p>
    <w:p>
      <w:pPr>
        <w:pStyle w:val="ListParagraph"/>
        <w:numPr>
          <w:ilvl w:val="0"/>
          <w:numId w:val="2"/>
        </w:numPr>
        <w:spacing w:after="120"/>
      </w:pPr>
      <w:r>
        <w:rPr>
          <w:rFonts w:ascii="Times New Roman" w:cs="Times New Roman" w:eastAsia="Times New Roman" w:hAnsi="Times New Roman"/>
          <w:color w:val="333333"/>
          <w:sz w:val="22"/>
          <w:szCs w:val="22"/>
        </w:rPr>
        <w:t xml:space="preserve">Force majeure events that prevent the operation of carbon markets.</w:t>
      </w:r>
    </w:p>
    <w:p>
      <w:pPr>
        <w:pStyle w:val="ListParagraph"/>
        <w:numPr>
          <w:ilvl w:val="0"/>
          <w:numId w:val="2"/>
        </w:numPr>
        <w:spacing w:after="120"/>
      </w:pPr>
      <w:r>
        <w:rPr>
          <w:rFonts w:ascii="Times New Roman" w:cs="Times New Roman" w:eastAsia="Times New Roman" w:hAnsi="Times New Roman"/>
          <w:color w:val="333333"/>
          <w:sz w:val="22"/>
          <w:szCs w:val="22"/>
        </w:rPr>
        <w:t xml:space="preserve">Adverse regulatory changes that eliminate or diminish the value of carbon credits as compliance instruments.</w:t>
      </w:r>
    </w:p>
    <w:p>
      <w:r>
        <w:br w:type="page"/>
      </w:r>
    </w:p>
    <w:p>
      <w:pPr>
        <w:pBdr>
          <w:bottom w:val="single" w:color="1B2A4A" w:sz="2" w:space="6"/>
        </w:pBdr>
        <w:spacing w:before="400" w:after="240"/>
      </w:pPr>
      <w:r>
        <w:rPr>
          <w:rFonts w:ascii="Times New Roman" w:cs="Times New Roman" w:eastAsia="Times New Roman" w:hAnsi="Times New Roman"/>
          <w:b/>
          <w:bCs/>
          <w:color w:val="1B2A4A"/>
          <w:sz w:val="28"/>
          <w:szCs w:val="28"/>
        </w:rPr>
        <w:t xml:space="preserve">7. NO INVESTMENT ADVICE</w:t>
      </w:r>
    </w:p>
    <w:p>
      <w:pPr>
        <w:spacing w:after="140"/>
      </w:pPr>
      <w:r>
        <w:rPr>
          <w:rFonts w:ascii="Times New Roman" w:cs="Times New Roman" w:eastAsia="Times New Roman" w:hAnsi="Times New Roman"/>
          <w:color w:val="333333"/>
          <w:sz w:val="22"/>
          <w:szCs w:val="22"/>
        </w:rPr>
        <w:t xml:space="preserve">NIHA does not provide investment, financial, legal, or tax advice. Nothing in NIHA’s communications, documentation, or services constitutes a recommendation to buy, sell, hold, or convert any carbon credit or other financial instrument.</w:t>
      </w:r>
    </w:p>
    <w:p>
      <w:pPr>
        <w:spacing w:after="140"/>
      </w:pPr>
      <w:r>
        <w:rPr>
          <w:rFonts w:ascii="Times New Roman" w:cs="Times New Roman" w:eastAsia="Times New Roman" w:hAnsi="Times New Roman"/>
          <w:color w:val="333333"/>
          <w:sz w:val="22"/>
          <w:szCs w:val="22"/>
        </w:rPr>
        <w:t xml:space="preserve">NIHA’s market intelligence and reporting services are provided for informational purposes only and should not be construed as investment advice. Clients should make their own independent investment decisions based on their own analysis and, where appropriate, professional advice.</w:t>
      </w:r>
    </w:p>
    <w:p>
      <w:pPr>
        <w:pBdr>
          <w:bottom w:val="single" w:color="1B2A4A" w:sz="2" w:space="6"/>
        </w:pBdr>
        <w:spacing w:before="400" w:after="240"/>
      </w:pPr>
      <w:r>
        <w:rPr>
          <w:rFonts w:ascii="Times New Roman" w:cs="Times New Roman" w:eastAsia="Times New Roman" w:hAnsi="Times New Roman"/>
          <w:b/>
          <w:bCs/>
          <w:color w:val="1B2A4A"/>
          <w:sz w:val="28"/>
          <w:szCs w:val="28"/>
        </w:rPr>
        <w:t xml:space="preserve">8. SUITABILITY</w:t>
      </w:r>
    </w:p>
    <w:p>
      <w:pPr>
        <w:spacing w:after="140"/>
      </w:pPr>
      <w:r>
        <w:rPr>
          <w:rFonts w:ascii="Times New Roman" w:cs="Times New Roman" w:eastAsia="Times New Roman" w:hAnsi="Times New Roman"/>
          <w:color w:val="333333"/>
          <w:sz w:val="22"/>
          <w:szCs w:val="22"/>
        </w:rPr>
        <w:t xml:space="preserve">Carbon credit trading may not be suitable for all investors. Clients should carefully consider whether carbon credit trading is appropriate for their financial situation, investment objectives, experience, and risk tolerance.</w:t>
      </w:r>
    </w:p>
    <w:p>
      <w:pPr>
        <w:spacing w:after="140"/>
      </w:pPr>
      <w:r>
        <w:rPr>
          <w:rFonts w:ascii="Times New Roman" w:cs="Times New Roman" w:eastAsia="Times New Roman" w:hAnsi="Times New Roman"/>
          <w:color w:val="333333"/>
          <w:sz w:val="22"/>
          <w:szCs w:val="22"/>
        </w:rPr>
        <w:t xml:space="preserve">NIHA reserves the right to decline to enter into transactions with clients where, in NIHA’s reasonable assessment, the proposed transaction would be unsuitable for the client’s risk profile.</w:t>
      </w:r>
    </w:p>
    <w:p>
      <w:pPr>
        <w:pBdr>
          <w:bottom w:val="single" w:color="1B2A4A" w:sz="2" w:space="6"/>
        </w:pBdr>
        <w:spacing w:before="400" w:after="240"/>
      </w:pPr>
      <w:r>
        <w:rPr>
          <w:rFonts w:ascii="Times New Roman" w:cs="Times New Roman" w:eastAsia="Times New Roman" w:hAnsi="Times New Roman"/>
          <w:b/>
          <w:bCs/>
          <w:color w:val="1B2A4A"/>
          <w:sz w:val="28"/>
          <w:szCs w:val="28"/>
        </w:rPr>
        <w:t xml:space="preserve">9. CLIENT ACKNOWLEDGEMENT</w:t>
      </w:r>
    </w:p>
    <w:p>
      <w:pPr>
        <w:spacing w:after="140"/>
      </w:pPr>
      <w:r>
        <w:rPr>
          <w:rFonts w:ascii="Times New Roman" w:cs="Times New Roman" w:eastAsia="Times New Roman" w:hAnsi="Times New Roman"/>
          <w:color w:val="333333"/>
          <w:sz w:val="22"/>
          <w:szCs w:val="22"/>
        </w:rPr>
        <w:t xml:space="preserve">By signing below, the Client acknowledges and confirms that:</w:t>
      </w:r>
    </w:p>
    <w:p>
      <w:pPr>
        <w:pStyle w:val="ListParagraph"/>
        <w:numPr>
          <w:ilvl w:val="0"/>
          <w:numId w:val="2"/>
        </w:numPr>
        <w:spacing w:after="120"/>
      </w:pPr>
      <w:r>
        <w:rPr>
          <w:rFonts w:ascii="Times New Roman" w:cs="Times New Roman" w:eastAsia="Times New Roman" w:hAnsi="Times New Roman"/>
          <w:color w:val="333333"/>
          <w:sz w:val="22"/>
          <w:szCs w:val="22"/>
        </w:rPr>
        <w:t xml:space="preserve">The Client has received, read, and understood this Risk Disclosure Statement in its entirety.</w:t>
      </w:r>
    </w:p>
    <w:p>
      <w:pPr>
        <w:pStyle w:val="ListParagraph"/>
        <w:numPr>
          <w:ilvl w:val="0"/>
          <w:numId w:val="2"/>
        </w:numPr>
        <w:spacing w:after="120"/>
      </w:pPr>
      <w:r>
        <w:rPr>
          <w:rFonts w:ascii="Times New Roman" w:cs="Times New Roman" w:eastAsia="Times New Roman" w:hAnsi="Times New Roman"/>
          <w:color w:val="333333"/>
          <w:sz w:val="22"/>
          <w:szCs w:val="22"/>
        </w:rPr>
        <w:t xml:space="preserve">The Client acknowledges that the risks described herein are not exhaustive and that carbon credit trading involves additional risks not specifically identified in this document.</w:t>
      </w:r>
    </w:p>
    <w:p>
      <w:pPr>
        <w:pStyle w:val="ListParagraph"/>
        <w:numPr>
          <w:ilvl w:val="0"/>
          <w:numId w:val="2"/>
        </w:numPr>
        <w:spacing w:after="120"/>
      </w:pPr>
      <w:r>
        <w:rPr>
          <w:rFonts w:ascii="Times New Roman" w:cs="Times New Roman" w:eastAsia="Times New Roman" w:hAnsi="Times New Roman"/>
          <w:color w:val="333333"/>
          <w:sz w:val="22"/>
          <w:szCs w:val="22"/>
        </w:rPr>
        <w:t xml:space="preserve">The Client has had the opportunity to seek independent legal, financial, and tax advice before entering into any transaction with NIHA.</w:t>
      </w:r>
    </w:p>
    <w:p>
      <w:pPr>
        <w:pStyle w:val="ListParagraph"/>
        <w:numPr>
          <w:ilvl w:val="0"/>
          <w:numId w:val="2"/>
        </w:numPr>
        <w:spacing w:after="120"/>
      </w:pPr>
      <w:r>
        <w:rPr>
          <w:rFonts w:ascii="Times New Roman" w:cs="Times New Roman" w:eastAsia="Times New Roman" w:hAnsi="Times New Roman"/>
          <w:color w:val="333333"/>
          <w:sz w:val="22"/>
          <w:szCs w:val="22"/>
        </w:rPr>
        <w:t xml:space="preserve">The Client’s decision to trade in carbon credits is based on the Client’s own judgement and assessment and not on any representation or advice from NIHA.</w:t>
      </w:r>
    </w:p>
    <w:p>
      <w:pPr>
        <w:pStyle w:val="ListParagraph"/>
        <w:numPr>
          <w:ilvl w:val="0"/>
          <w:numId w:val="2"/>
        </w:numPr>
        <w:spacing w:after="120"/>
      </w:pPr>
      <w:r>
        <w:rPr>
          <w:rFonts w:ascii="Times New Roman" w:cs="Times New Roman" w:eastAsia="Times New Roman" w:hAnsi="Times New Roman"/>
          <w:color w:val="333333"/>
          <w:sz w:val="22"/>
          <w:szCs w:val="22"/>
        </w:rPr>
        <w:t xml:space="preserve">The Client understands and accepts that the value of carbon credits may decline and that the Client may suffer a total loss of invested capital.</w:t>
      </w:r>
    </w:p>
    <w:p>
      <w:pPr>
        <w:pStyle w:val="ListParagraph"/>
        <w:numPr>
          <w:ilvl w:val="0"/>
          <w:numId w:val="2"/>
        </w:numPr>
        <w:spacing w:after="120"/>
      </w:pPr>
      <w:r>
        <w:rPr>
          <w:rFonts w:ascii="Times New Roman" w:cs="Times New Roman" w:eastAsia="Times New Roman" w:hAnsi="Times New Roman"/>
          <w:color w:val="333333"/>
          <w:sz w:val="22"/>
          <w:szCs w:val="22"/>
        </w:rPr>
        <w:t xml:space="preserve">The Client’s acknowledgement of this Statement does not in any way limit or exclude NIHA’s liability for fraud or fraudulent misrepresentation.</w:t>
      </w:r>
    </w:p>
    <w:p>
      <w:pPr>
        <w:spacing w:before="400"/>
      </w:pPr>
    </w:p>
    <w:p>
      <w:pPr>
        <w:spacing w:after="140"/>
      </w:pPr>
      <w:r>
        <w:rPr>
          <w:rFonts w:ascii="Times New Roman" w:cs="Times New Roman" w:eastAsia="Times New Roman" w:hAnsi="Times New Roman"/>
          <w:b/>
          <w:bCs/>
          <w:color w:val="333333"/>
          <w:sz w:val="22"/>
          <w:szCs w:val="22"/>
        </w:rPr>
        <w:t xml:space="preserve">FOR AND ON BEHALF OF THE CLIENT: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tcPr>
          <w:p>
            <w:pPr>
              <w:spacing w:after="140"/>
            </w:pPr>
            <w:r>
              <w:rPr>
                <w:rFonts w:ascii="Times New Roman" w:cs="Times New Roman" w:eastAsia="Times New Roman" w:hAnsi="Times New Roman"/>
                <w:color w:val="333333"/>
                <w:sz w:val="22"/>
                <w:szCs w:val="22"/>
              </w:rPr>
              <w:t xml:space="preserve">Signature: _________________________</w:t>
            </w:r>
          </w:p>
          <w:p>
            <w:pPr>
              <w:spacing w:before="200"/>
            </w:pPr>
          </w:p>
          <w:p>
            <w:pPr>
              <w:spacing w:after="140"/>
            </w:pPr>
            <w:r>
              <w:rPr>
                <w:rFonts w:ascii="Times New Roman" w:cs="Times New Roman" w:eastAsia="Times New Roman" w:hAnsi="Times New Roman"/>
                <w:color w:val="333333"/>
                <w:sz w:val="22"/>
                <w:szCs w:val="22"/>
              </w:rPr>
              <w:t xml:space="preserve">Name: _____________________________</w:t>
            </w:r>
          </w:p>
          <w:p>
            <w:pPr>
              <w:spacing w:before="200"/>
            </w:pPr>
          </w:p>
          <w:p>
            <w:pPr>
              <w:spacing w:after="140"/>
            </w:pPr>
            <w:r>
              <w:rPr>
                <w:rFonts w:ascii="Times New Roman" w:cs="Times New Roman" w:eastAsia="Times New Roman" w:hAnsi="Times New Roman"/>
                <w:color w:val="333333"/>
                <w:sz w:val="22"/>
                <w:szCs w:val="22"/>
              </w:rPr>
              <w:t xml:space="preserve">Title: ______________________________</w:t>
            </w:r>
          </w:p>
        </w:tc>
        <w:tc>
          <w:tcPr>
            <w:tcW w:type="dxa" w:w="4680"/>
            <w:tcBorders>
              <w:top w:val="none" w:sz="0"/>
              <w:left w:val="none" w:sz="0"/>
              <w:bottom w:val="none" w:sz="0"/>
              <w:right w:val="none" w:sz="0"/>
            </w:tcBorders>
          </w:tcPr>
          <w:p>
            <w:pPr>
              <w:spacing w:after="140"/>
            </w:pPr>
            <w:r>
              <w:rPr>
                <w:rFonts w:ascii="Times New Roman" w:cs="Times New Roman" w:eastAsia="Times New Roman" w:hAnsi="Times New Roman"/>
                <w:color w:val="333333"/>
                <w:sz w:val="22"/>
                <w:szCs w:val="22"/>
              </w:rPr>
              <w:t xml:space="preserve">Date: ______________________________</w:t>
            </w:r>
          </w:p>
          <w:p>
            <w:pPr>
              <w:spacing w:before="200"/>
            </w:pPr>
          </w:p>
          <w:p>
            <w:pPr>
              <w:spacing w:after="140"/>
            </w:pPr>
            <w:r>
              <w:rPr>
                <w:rFonts w:ascii="Times New Roman" w:cs="Times New Roman" w:eastAsia="Times New Roman" w:hAnsi="Times New Roman"/>
                <w:color w:val="333333"/>
                <w:sz w:val="22"/>
                <w:szCs w:val="22"/>
              </w:rPr>
              <w:t xml:space="preserve">Entity: _____________________________</w:t>
            </w:r>
          </w:p>
          <w:p>
            <w:pPr>
              <w:spacing w:before="200"/>
            </w:pPr>
          </w:p>
          <w:p>
            <w:pPr>
              <w:spacing w:after="140"/>
            </w:pPr>
            <w:r>
              <w:rPr>
                <w:rFonts w:ascii="Times New Roman" w:cs="Times New Roman" w:eastAsia="Times New Roman" w:hAnsi="Times New Roman"/>
                <w:color w:val="333333"/>
                <w:sz w:val="22"/>
                <w:szCs w:val="22"/>
              </w:rPr>
              <w:t xml:space="preserve">Application Reference: ______________</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1" w:space="4"/>
      </w:pBdr>
      <w:jc w:val="center"/>
    </w:pPr>
    <w:r>
      <w:rPr>
        <w:rFonts w:ascii="Times New Roman" w:cs="Times New Roman" w:eastAsia="Times New Roman" w:hAnsi="Times New Roman"/>
        <w:color w:val="666666"/>
        <w:sz w:val="16"/>
        <w:szCs w:val="16"/>
      </w:rPr>
      <w:t xml:space="preserve">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r>
      <w:rPr>
        <w:rFonts w:ascii="Times New Roman" w:cs="Times New Roman" w:eastAsia="Times New Roman" w:hAnsi="Times New Roman"/>
        <w:color w:val="CC0000"/>
        <w:sz w:val="16"/>
        <w:szCs w:val="16"/>
      </w:rPr>
      <w:t xml:space="preserve"> | This document must be signed and returned prior to first transaction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1" w:space="4"/>
      </w:pBdr>
      <w:jc w:val="right"/>
    </w:pPr>
    <w:r>
      <w:rPr>
        <w:rFonts w:ascii="Times New Roman" w:cs="Times New Roman" w:eastAsia="Times New Roman" w:hAnsi="Times New Roman"/>
        <w:b/>
        <w:bCs/>
        <w:color w:val="1B2A4A"/>
        <w:sz w:val="16"/>
        <w:szCs w:val="16"/>
      </w:rPr>
      <w:t xml:space="preserve">ITALY NIHAO GROUP LIMITED</w:t>
    </w:r>
    <w:r>
      <w:rPr>
        <w:rFonts w:ascii="Times New Roman" w:cs="Times New Roman" w:eastAsia="Times New Roman" w:hAnsi="Times New Roman"/>
        <w:color w:val="666666"/>
        <w:sz w:val="16"/>
        <w:szCs w:val="16"/>
      </w:rPr>
      <w:t xml:space="preserve"> | Risk Disclosure Statement | NIHA-RDS-2026-001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2026-02-20T11:11:23.793Z</dcterms:created>
  <dcterms:modified xsi:type="dcterms:W3CDTF">2026-02-20T11:11:23.793Z</dcterms:modified>
</cp:coreProperties>
</file>

<file path=docProps/custom.xml><?xml version="1.0" encoding="utf-8"?>
<Properties xmlns="http://schemas.openxmlformats.org/officeDocument/2006/custom-properties" xmlns:vt="http://schemas.openxmlformats.org/officeDocument/2006/docPropsVTypes"/>
</file>