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1B2A4A"/>
          <w:sz w:val="32"/>
          <w:szCs w:val="32"/>
        </w:rPr>
        <w:t xml:space="preserve">ITALY NIHAO GROUP LIMITED</w:t>
      </w:r>
    </w:p>
    <w:p>
      <w:pPr>
        <w:spacing w:after="200"/>
        <w:jc w:val="center"/>
      </w:pPr>
      <w:r>
        <w:rPr>
          <w:rFonts w:ascii="Times New Roman" w:cs="Times New Roman" w:eastAsia="Times New Roman" w:hAnsi="Times New Roman"/>
          <w:color w:val="666666"/>
          <w:sz w:val="20"/>
          <w:szCs w:val="20"/>
        </w:rPr>
        <w:t xml:space="preserve">Incorporated in Hong Kong SAR</w:t>
      </w:r>
    </w:p>
    <w:p>
      <w:pPr>
        <w:pBdr>
          <w:top w:val="single" w:color="1B2A4A" w:sz="2" w:space="12"/>
          <w:bottom w:val="single" w:color="1B2A4A" w:sz="2" w:space="12"/>
        </w:pBdr>
        <w:spacing w:before="600"/>
        <w:jc w:val="center"/>
      </w:pPr>
      <w:r>
        <w:rPr>
          <w:rFonts w:ascii="Times New Roman" w:cs="Times New Roman" w:eastAsia="Times New Roman" w:hAnsi="Times New Roman"/>
          <w:b/>
          <w:bCs/>
          <w:color w:val="1B2A4A"/>
          <w:sz w:val="36"/>
          <w:szCs w:val="36"/>
        </w:rPr>
        <w:t xml:space="preserve">TRADE EXECUTION POLICY</w:t>
      </w:r>
      <w:r>
        <w:rPr>
          <w:rFonts w:ascii="Times New Roman" w:cs="Times New Roman" w:eastAsia="Times New Roman" w:hAnsi="Times New Roman"/>
          <w:color w:val="2E75B6"/>
          <w:sz w:val="24"/>
          <w:szCs w:val="24"/>
        </w:rPr>
        <w:br/>
        <w:t xml:space="preserve">
Best Execution Standards and Pricing Methodology</w:t>
      </w:r>
    </w:p>
    <w:p>
      <w:pPr>
        <w:spacing w:before="800"/>
        <w:jc w:val="center"/>
      </w:pPr>
      <w:r>
        <w:rPr>
          <w:rFonts w:ascii="Times New Roman" w:cs="Times New Roman" w:eastAsia="Times New Roman" w:hAnsi="Times New Roman"/>
          <w:color w:val="666666"/>
          <w:sz w:val="20"/>
          <w:szCs w:val="20"/>
        </w:rPr>
        <w:t xml:space="preserve">Policy Reference: NIHA-TEP-2026-001</w:t>
      </w:r>
      <w:r>
        <w:rPr>
          <w:rFonts w:ascii="Times New Roman" w:cs="Times New Roman" w:eastAsia="Times New Roman" w:hAnsi="Times New Roman"/>
          <w:color w:val="666666"/>
          <w:sz w:val="20"/>
          <w:szCs w:val="20"/>
        </w:rPr>
        <w:br/>
        <w:t xml:space="preserve">
Version 1.0 — February 2026</w:t>
      </w:r>
      <w:r>
        <w:rPr>
          <w:rFonts w:ascii="Times New Roman" w:cs="Times New Roman" w:eastAsia="Times New Roman" w:hAnsi="Times New Roman"/>
          <w:color w:val="666666"/>
          <w:sz w:val="20"/>
          <w:szCs w:val="20"/>
        </w:rPr>
        <w:br/>
        <w:t xml:space="preserve">
Approved by: Board of Directors</w:t>
      </w:r>
      <w:r>
        <w:rPr>
          <w:rFonts w:ascii="Times New Roman" w:cs="Times New Roman" w:eastAsia="Times New Roman" w:hAnsi="Times New Roman"/>
          <w:color w:val="666666"/>
          <w:sz w:val="20"/>
          <w:szCs w:val="20"/>
        </w:rPr>
        <w:br/>
        <w:t xml:space="preserve">
Effective Date: [________] 2026</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Feb 2026</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Compliance Officer</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Initial policy document</w:t>
            </w:r>
          </w:p>
        </w:tc>
      </w:tr>
    </w:tbl>
    <w:p>
      <w:pPr>
        <w:spacing w:before="200" w:after="300"/>
      </w:pP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1. PURPOSE AND SCOPE</w:t>
      </w:r>
    </w:p>
    <w:p>
      <w:pPr>
        <w:spacing w:after="140"/>
      </w:pPr>
      <w:r>
        <w:rPr>
          <w:rFonts w:ascii="Times New Roman" w:cs="Times New Roman" w:eastAsia="Times New Roman" w:hAnsi="Times New Roman"/>
          <w:color w:val="333333"/>
          <w:sz w:val="22"/>
          <w:szCs w:val="22"/>
        </w:rPr>
        <w:t xml:space="preserve">This Trade Execution Policy (“Policy”) establishes the principles, procedures, and controls governing the execution of carbon credit transactions by Italy Nihao Group Limited (“NIHA”). This Policy applies to all transactions executed by NIHA in its capacity as principal counterparty, including acquisitions, disposals, conversions, and deliveries of carbon credits across all markets and registries in which NIHA operates.</w:t>
      </w:r>
    </w:p>
    <w:p>
      <w:pPr>
        <w:spacing w:after="140"/>
      </w:pPr>
      <w:r>
        <w:rPr>
          <w:rFonts w:ascii="Times New Roman" w:cs="Times New Roman" w:eastAsia="Times New Roman" w:hAnsi="Times New Roman"/>
          <w:color w:val="333333"/>
          <w:sz w:val="22"/>
          <w:szCs w:val="22"/>
        </w:rPr>
        <w:t xml:space="preserve">Although NIHA is not currently subject to a statutory best execution obligation under Hong Kong law (as carbon credits are not classified as securities or futures contracts under the Securities and Futures Ordinance, applicable securities legislation), NIHA voluntarily adopts best execution principles aligned with international standards, including the principles set out in MiFID II (Markets in Financial Instruments Directive) Articles 27-28, as a matter of good practice and client protection.</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2. OPERATING MODEL</w:t>
      </w:r>
    </w:p>
    <w:p>
      <w:pPr>
        <w:spacing w:after="140"/>
      </w:pPr>
      <w:r>
        <w:rPr>
          <w:rFonts w:ascii="Times New Roman" w:cs="Times New Roman" w:eastAsia="Times New Roman" w:hAnsi="Times New Roman"/>
          <w:color w:val="333333"/>
          <w:sz w:val="22"/>
          <w:szCs w:val="22"/>
        </w:rPr>
        <w:t xml:space="preserve">NIHA operates as a principal counterparty in all carbon credit transactions. This means that when a client instructs NIHA to acquire or dispose of carbon credits, NIHA enters into the transaction as the opposite party. NIHA is not a broker, agent, or intermediary.</w:t>
      </w:r>
    </w:p>
    <w:p>
      <w:pPr>
        <w:spacing w:after="140"/>
      </w:pPr>
      <w:r>
        <w:rPr>
          <w:rFonts w:ascii="Times New Roman" w:cs="Times New Roman" w:eastAsia="Times New Roman" w:hAnsi="Times New Roman"/>
          <w:color w:val="333333"/>
          <w:sz w:val="22"/>
          <w:szCs w:val="22"/>
        </w:rPr>
        <w:t xml:space="preserve">Key implications of the principal counterparty model:</w:t>
      </w:r>
    </w:p>
    <w:p>
      <w:pPr>
        <w:pStyle w:val="ListParagraph"/>
        <w:numPr>
          <w:ilvl w:val="0"/>
          <w:numId w:val="2"/>
        </w:numPr>
        <w:spacing w:after="120"/>
      </w:pPr>
      <w:r>
        <w:rPr>
          <w:rFonts w:ascii="Times New Roman" w:cs="Times New Roman" w:eastAsia="Times New Roman" w:hAnsi="Times New Roman"/>
          <w:color w:val="333333"/>
          <w:sz w:val="22"/>
          <w:szCs w:val="22"/>
        </w:rPr>
        <w:t xml:space="preserve">NIHA holds legal title to all carbon credits in its custody accounts and trades from its own inventory.</w:t>
      </w:r>
    </w:p>
    <w:p>
      <w:pPr>
        <w:pStyle w:val="ListParagraph"/>
        <w:numPr>
          <w:ilvl w:val="0"/>
          <w:numId w:val="2"/>
        </w:numPr>
        <w:spacing w:after="120"/>
      </w:pPr>
      <w:r>
        <w:rPr>
          <w:rFonts w:ascii="Times New Roman" w:cs="Times New Roman" w:eastAsia="Times New Roman" w:hAnsi="Times New Roman"/>
          <w:color w:val="333333"/>
          <w:sz w:val="22"/>
          <w:szCs w:val="22"/>
        </w:rPr>
        <w:t xml:space="preserve">Client instructions result in bilateral transactions between the client and NIHA, not transactions executed on an exchange or with third parties on the client’s behalf.</w:t>
      </w:r>
    </w:p>
    <w:p>
      <w:pPr>
        <w:pStyle w:val="ListParagraph"/>
        <w:numPr>
          <w:ilvl w:val="0"/>
          <w:numId w:val="2"/>
        </w:numPr>
        <w:spacing w:after="120"/>
      </w:pPr>
      <w:r>
        <w:rPr>
          <w:rFonts w:ascii="Times New Roman" w:cs="Times New Roman" w:eastAsia="Times New Roman" w:hAnsi="Times New Roman"/>
          <w:color w:val="333333"/>
          <w:sz w:val="22"/>
          <w:szCs w:val="22"/>
        </w:rPr>
        <w:t xml:space="preserve">NIHA bears the market risk, credit risk, and settlement risk of its own trading activities.</w:t>
      </w:r>
    </w:p>
    <w:p>
      <w:pPr>
        <w:pStyle w:val="ListParagraph"/>
        <w:numPr>
          <w:ilvl w:val="0"/>
          <w:numId w:val="2"/>
        </w:numPr>
        <w:spacing w:after="120"/>
      </w:pPr>
      <w:r>
        <w:rPr>
          <w:rFonts w:ascii="Times New Roman" w:cs="Times New Roman" w:eastAsia="Times New Roman" w:hAnsi="Times New Roman"/>
          <w:color w:val="333333"/>
          <w:sz w:val="22"/>
          <w:szCs w:val="22"/>
        </w:rPr>
        <w:t xml:space="preserve">Pricing is determined by NIHA based on its pricing methodology (see Section 4) and is not the result of competitive order matching.</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3. ORDER TYPES AND INSTRUCTION PROCEDURES</w:t>
      </w:r>
    </w:p>
    <w:p>
      <w:pPr>
        <w:spacing w:before="280" w:after="160"/>
      </w:pPr>
      <w:r>
        <w:rPr>
          <w:rFonts w:ascii="Times New Roman" w:cs="Times New Roman" w:eastAsia="Times New Roman" w:hAnsi="Times New Roman"/>
          <w:b/>
          <w:bCs/>
          <w:color w:val="2E75B6"/>
          <w:sz w:val="24"/>
          <w:szCs w:val="24"/>
        </w:rPr>
        <w:t xml:space="preserve">3.1 </w:t>
      </w:r>
      <w:r>
        <w:rPr>
          <w:rFonts w:ascii="Times New Roman" w:cs="Times New Roman" w:eastAsia="Times New Roman" w:hAnsi="Times New Roman"/>
          <w:b/>
          <w:bCs/>
          <w:color w:val="2E75B6"/>
          <w:sz w:val="24"/>
          <w:szCs w:val="24"/>
        </w:rPr>
        <w:t xml:space="preserve">Accepted Order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Order Type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Execution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Market Order</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Execute at current NIHA quoted price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Immediate (subject to availability)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Limit Order</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Execute at or better than specified price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Valid for specified period (default: GTC 30 days)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Conversion Order</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 EUA conversion at quoted ratio</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T+3 to T+10 depending on market conditions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Block Trade</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Large volume transaction (&gt;10,000 whole units)</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Negotiated price, customised settlement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Scheduled Order</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Periodic acquisition at predefined intervals</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As per agreed schedule</w:t>
            </w:r>
          </w:p>
        </w:tc>
      </w:tr>
    </w:tbl>
    <w:p>
      <w:pPr>
        <w:spacing w:before="280" w:after="160"/>
      </w:pPr>
      <w:r>
        <w:rPr>
          <w:rFonts w:ascii="Times New Roman" w:cs="Times New Roman" w:eastAsia="Times New Roman" w:hAnsi="Times New Roman"/>
          <w:b/>
          <w:bCs/>
          <w:color w:val="2E75B6"/>
          <w:sz w:val="24"/>
          <w:szCs w:val="24"/>
        </w:rPr>
        <w:t xml:space="preserve">3.2 </w:t>
      </w:r>
      <w:r>
        <w:rPr>
          <w:rFonts w:ascii="Times New Roman" w:cs="Times New Roman" w:eastAsia="Times New Roman" w:hAnsi="Times New Roman"/>
          <w:b/>
          <w:bCs/>
          <w:color w:val="2E75B6"/>
          <w:sz w:val="24"/>
          <w:szCs w:val="24"/>
        </w:rPr>
        <w:t xml:space="preserve">Instruction Channels</w:t>
      </w:r>
    </w:p>
    <w:p>
      <w:pPr>
        <w:spacing w:after="140"/>
      </w:pPr>
      <w:r>
        <w:rPr>
          <w:rFonts w:ascii="Times New Roman" w:cs="Times New Roman" w:eastAsia="Times New Roman" w:hAnsi="Times New Roman"/>
          <w:color w:val="333333"/>
          <w:sz w:val="22"/>
          <w:szCs w:val="22"/>
        </w:rPr>
        <w:t xml:space="preserve">Client instructions may be submitted through the following authorised channels:</w:t>
      </w:r>
    </w:p>
    <w:p>
      <w:pPr>
        <w:pStyle w:val="ListParagraph"/>
        <w:numPr>
          <w:ilvl w:val="0"/>
          <w:numId w:val="2"/>
        </w:numPr>
        <w:spacing w:after="120"/>
      </w:pPr>
      <w:r>
        <w:rPr>
          <w:rFonts w:ascii="Times New Roman" w:cs="Times New Roman" w:eastAsia="Times New Roman" w:hAnsi="Times New Roman"/>
          <w:color w:val="333333"/>
          <w:sz w:val="22"/>
          <w:szCs w:val="22"/>
        </w:rPr>
        <w:t xml:space="preserve">NIHA Trading Platform (online portal with two-factor authentication)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Encrypted email to the designated trading desk (trading@niha-carbon.com)</w:t>
      </w:r>
    </w:p>
    <w:p>
      <w:pPr>
        <w:pStyle w:val="ListParagraph"/>
        <w:numPr>
          <w:ilvl w:val="0"/>
          <w:numId w:val="2"/>
        </w:numPr>
        <w:spacing w:after="120"/>
      </w:pPr>
      <w:r>
        <w:rPr>
          <w:rFonts w:ascii="Times New Roman" w:cs="Times New Roman" w:eastAsia="Times New Roman" w:hAnsi="Times New Roman"/>
          <w:color w:val="333333"/>
          <w:sz w:val="22"/>
          <w:szCs w:val="22"/>
        </w:rPr>
        <w:t xml:space="preserve">Telephone to the designated trading desk (recorded line) followed by written confirmation within 4 hours</w:t>
      </w:r>
    </w:p>
    <w:p>
      <w:pPr>
        <w:spacing w:before="280" w:after="160"/>
      </w:pPr>
      <w:r>
        <w:rPr>
          <w:rFonts w:ascii="Times New Roman" w:cs="Times New Roman" w:eastAsia="Times New Roman" w:hAnsi="Times New Roman"/>
          <w:b/>
          <w:bCs/>
          <w:color w:val="2E75B6"/>
          <w:sz w:val="24"/>
          <w:szCs w:val="24"/>
        </w:rPr>
        <w:t xml:space="preserve">3.3 </w:t>
      </w:r>
      <w:r>
        <w:rPr>
          <w:rFonts w:ascii="Times New Roman" w:cs="Times New Roman" w:eastAsia="Times New Roman" w:hAnsi="Times New Roman"/>
          <w:b/>
          <w:bCs/>
          <w:color w:val="2E75B6"/>
          <w:sz w:val="24"/>
          <w:szCs w:val="24"/>
        </w:rPr>
        <w:t xml:space="preserve">Instruction Validation</w:t>
      </w:r>
    </w:p>
    <w:p>
      <w:pPr>
        <w:spacing w:after="140"/>
      </w:pPr>
      <w:r>
        <w:rPr>
          <w:rFonts w:ascii="Times New Roman" w:cs="Times New Roman" w:eastAsia="Times New Roman" w:hAnsi="Times New Roman"/>
          <w:color w:val="333333"/>
          <w:sz w:val="22"/>
          <w:szCs w:val="22"/>
        </w:rPr>
        <w:t xml:space="preserve">All instructions are subject to the following validation checks prior to execution: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Authentication: Verification that the instruction originates from an Authorised Signatory as recorded in the client’s onboarding documentation.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Sufficiency: Confirmation that the client has sufficient funds on deposit (for buy orders) or sufficient carbon credits in custody (for sell orders).</w:t>
      </w:r>
    </w:p>
    <w:p>
      <w:pPr>
        <w:pStyle w:val="ListParagraph"/>
        <w:numPr>
          <w:ilvl w:val="0"/>
          <w:numId w:val="2"/>
        </w:numPr>
        <w:spacing w:after="120"/>
      </w:pPr>
      <w:r>
        <w:rPr>
          <w:rFonts w:ascii="Times New Roman" w:cs="Times New Roman" w:eastAsia="Times New Roman" w:hAnsi="Times New Roman"/>
          <w:color w:val="333333"/>
          <w:sz w:val="22"/>
          <w:szCs w:val="22"/>
        </w:rPr>
        <w:t xml:space="preserve">Compliance: Automated sanctions screening of the transaction against all applicable sanctions lists.</w:t>
      </w:r>
    </w:p>
    <w:p>
      <w:pPr>
        <w:pStyle w:val="ListParagraph"/>
        <w:numPr>
          <w:ilvl w:val="0"/>
          <w:numId w:val="2"/>
        </w:numPr>
        <w:spacing w:after="120"/>
      </w:pPr>
      <w:r>
        <w:rPr>
          <w:rFonts w:ascii="Times New Roman" w:cs="Times New Roman" w:eastAsia="Times New Roman" w:hAnsi="Times New Roman"/>
          <w:color w:val="333333"/>
          <w:sz w:val="22"/>
          <w:szCs w:val="22"/>
        </w:rPr>
        <w:t xml:space="preserve">Risk Limits: Verification that the transaction does not exceed the client’s pre-approved risk limits or concentration thresholds.</w:t>
      </w:r>
    </w:p>
    <w:p>
      <w:pPr>
        <w:pStyle w:val="ListParagraph"/>
        <w:numPr>
          <w:ilvl w:val="0"/>
          <w:numId w:val="2"/>
        </w:numPr>
        <w:spacing w:after="120"/>
      </w:pPr>
      <w:r>
        <w:rPr>
          <w:rFonts w:ascii="Times New Roman" w:cs="Times New Roman" w:eastAsia="Times New Roman" w:hAnsi="Times New Roman"/>
          <w:color w:val="333333"/>
          <w:sz w:val="22"/>
          <w:szCs w:val="22"/>
        </w:rPr>
        <w:t xml:space="preserve">Market Hours: Confirmation that the relevant market or registry is operational.</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4. PRICING METHODOLOGY</w:t>
      </w:r>
    </w:p>
    <w:p>
      <w:pPr>
        <w:spacing w:before="280" w:after="160"/>
      </w:pPr>
      <w:r>
        <w:rPr>
          <w:rFonts w:ascii="Times New Roman" w:cs="Times New Roman" w:eastAsia="Times New Roman" w:hAnsi="Times New Roman"/>
          <w:b/>
          <w:bCs/>
          <w:color w:val="2E75B6"/>
          <w:sz w:val="24"/>
          <w:szCs w:val="24"/>
        </w:rPr>
        <w:t xml:space="preserve">4.1 </w:t>
      </w:r>
      <w:r>
        <w:rPr>
          <w:rFonts w:ascii="Times New Roman" w:cs="Times New Roman" w:eastAsia="Times New Roman" w:hAnsi="Times New Roman"/>
          <w:b/>
          <w:bCs/>
          <w:color w:val="2E75B6"/>
          <w:sz w:val="24"/>
          <w:szCs w:val="24"/>
        </w:rPr>
        <w:t xml:space="preserve">Price Discovery</w:t>
      </w:r>
    </w:p>
    <w:p>
      <w:pPr>
        <w:spacing w:after="140"/>
      </w:pPr>
      <w:r>
        <w:rPr>
          <w:rFonts w:ascii="Times New Roman" w:cs="Times New Roman" w:eastAsia="Times New Roman" w:hAnsi="Times New Roman"/>
          <w:color w:val="333333"/>
          <w:sz w:val="22"/>
          <w:szCs w:val="22"/>
        </w:rPr>
        <w:t xml:space="preserve">NIHA determines transaction prices using the following benchmark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Instrument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Primary Benchmark</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Secondary Benchmark</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EU Allowances (EUA)</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ICE Endex EUA Futures (Daily Settlement)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EEX EUA Spot Auction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Chinese Emission Allowances (CEA)</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CEEX Shenzhen Daily Close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Shanghai Environment &amp; Energy Exchange</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Voluntary Carbon Credits (VCU)</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HKEX Core Climate Reference Price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CBL/Xpansiv Standardized Contract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CEA/EUA Conversion</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NIHA Proprietary Model (see 4.2)</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Cross-referenced with ICE + CEEX</w:t>
            </w:r>
          </w:p>
        </w:tc>
      </w:tr>
    </w:tbl>
    <w:p>
      <w:pPr>
        <w:spacing w:before="280" w:after="160"/>
      </w:pPr>
      <w:r>
        <w:rPr>
          <w:rFonts w:ascii="Times New Roman" w:cs="Times New Roman" w:eastAsia="Times New Roman" w:hAnsi="Times New Roman"/>
          <w:b/>
          <w:bCs/>
          <w:color w:val="2E75B6"/>
          <w:sz w:val="24"/>
          <w:szCs w:val="24"/>
        </w:rPr>
        <w:t xml:space="preserve">4.2 </w:t>
      </w:r>
      <w:r>
        <w:rPr>
          <w:rFonts w:ascii="Times New Roman" w:cs="Times New Roman" w:eastAsia="Times New Roman" w:hAnsi="Times New Roman"/>
          <w:b/>
          <w:bCs/>
          <w:color w:val="2E75B6"/>
          <w:sz w:val="24"/>
          <w:szCs w:val="24"/>
        </w:rPr>
        <w:t xml:space="preserve">CEA/EUA Conversion Ratio Methodology</w:t>
      </w:r>
    </w:p>
    <w:p>
      <w:pPr>
        <w:spacing w:after="140"/>
      </w:pPr>
      <w:r>
        <w:rPr>
          <w:rFonts w:ascii="Times New Roman" w:cs="Times New Roman" w:eastAsia="Times New Roman" w:hAnsi="Times New Roman"/>
          <w:color w:val="333333"/>
          <w:sz w:val="22"/>
          <w:szCs w:val="22"/>
        </w:rPr>
        <w:t xml:space="preserve">The CEA/EUA conversion ratio is calculated by NIHA using the following methodology:</w:t>
      </w:r>
    </w:p>
    <w:p>
      <w:pPr>
        <w:pStyle w:val="ListParagraph"/>
        <w:numPr>
          <w:ilvl w:val="0"/>
          <w:numId w:val="2"/>
        </w:numPr>
        <w:spacing w:after="120"/>
      </w:pPr>
      <w:r>
        <w:rPr>
          <w:rFonts w:ascii="Times New Roman" w:cs="Times New Roman" w:eastAsia="Times New Roman" w:hAnsi="Times New Roman"/>
          <w:color w:val="333333"/>
          <w:sz w:val="22"/>
          <w:szCs w:val="22"/>
        </w:rPr>
        <w:t xml:space="preserve">Base Ratio: The ratio of the CEA spot price (converted to EUR at the prevailing CNY/EUR exchange rate) to the EUA spot price.</w:t>
      </w:r>
    </w:p>
    <w:p>
      <w:pPr>
        <w:pStyle w:val="ListParagraph"/>
        <w:numPr>
          <w:ilvl w:val="0"/>
          <w:numId w:val="2"/>
        </w:numPr>
        <w:spacing w:after="120"/>
      </w:pPr>
      <w:r>
        <w:rPr>
          <w:rFonts w:ascii="Times New Roman" w:cs="Times New Roman" w:eastAsia="Times New Roman" w:hAnsi="Times New Roman"/>
          <w:color w:val="333333"/>
          <w:sz w:val="22"/>
          <w:szCs w:val="22"/>
        </w:rPr>
        <w:t xml:space="preserve">Liquidity Adjustment: An adjustment of ±0.5% to ±2.0% to reflect the relative liquidity and accessibility of the two markets.</w:t>
      </w:r>
    </w:p>
    <w:p>
      <w:pPr>
        <w:pStyle w:val="ListParagraph"/>
        <w:numPr>
          <w:ilvl w:val="0"/>
          <w:numId w:val="2"/>
        </w:numPr>
        <w:spacing w:after="120"/>
      </w:pPr>
      <w:r>
        <w:rPr>
          <w:rFonts w:ascii="Times New Roman" w:cs="Times New Roman" w:eastAsia="Times New Roman" w:hAnsi="Times New Roman"/>
          <w:color w:val="333333"/>
          <w:sz w:val="22"/>
          <w:szCs w:val="22"/>
        </w:rPr>
        <w:t xml:space="preserve">Cross-Border Premium: A premium of 1.0% to 3.0% reflecting the operational costs, regulatory overhead, and settlement risks of cross-border transactions.</w:t>
      </w:r>
    </w:p>
    <w:p>
      <w:pPr>
        <w:pStyle w:val="ListParagraph"/>
        <w:numPr>
          <w:ilvl w:val="0"/>
          <w:numId w:val="2"/>
        </w:numPr>
        <w:spacing w:after="120"/>
      </w:pPr>
      <w:r>
        <w:rPr>
          <w:rFonts w:ascii="Times New Roman" w:cs="Times New Roman" w:eastAsia="Times New Roman" w:hAnsi="Times New Roman"/>
          <w:color w:val="333333"/>
          <w:sz w:val="22"/>
          <w:szCs w:val="22"/>
        </w:rPr>
        <w:t xml:space="preserve">Market Conditions Adjustment: A discretionary adjustment of up to ±1.5% in periods of exceptional market volatility, registry outages, or regulatory uncertainty.</w:t>
      </w:r>
    </w:p>
    <w:p>
      <w:pPr>
        <w:spacing w:after="140"/>
      </w:pPr>
      <w:r>
        <w:rPr>
          <w:rFonts w:ascii="Times New Roman" w:cs="Times New Roman" w:eastAsia="Times New Roman" w:hAnsi="Times New Roman"/>
          <w:color w:val="333333"/>
          <w:sz w:val="22"/>
          <w:szCs w:val="22"/>
        </w:rPr>
        <w:t xml:space="preserve">The conversion ratio is published on the NIHA Trading Platform and updated at least twice daily (08:00 and 14:00 HKT). The ratio is indicative and subject to confirmation at the time of order execution.</w:t>
      </w:r>
    </w:p>
    <w:p>
      <w:pPr>
        <w:spacing w:before="280" w:after="160"/>
      </w:pPr>
      <w:r>
        <w:rPr>
          <w:rFonts w:ascii="Times New Roman" w:cs="Times New Roman" w:eastAsia="Times New Roman" w:hAnsi="Times New Roman"/>
          <w:b/>
          <w:bCs/>
          <w:color w:val="2E75B6"/>
          <w:sz w:val="24"/>
          <w:szCs w:val="24"/>
        </w:rPr>
        <w:t xml:space="preserve">4.3 </w:t>
      </w:r>
      <w:r>
        <w:rPr>
          <w:rFonts w:ascii="Times New Roman" w:cs="Times New Roman" w:eastAsia="Times New Roman" w:hAnsi="Times New Roman"/>
          <w:b/>
          <w:bCs/>
          <w:color w:val="2E75B6"/>
          <w:sz w:val="24"/>
          <w:szCs w:val="24"/>
        </w:rPr>
        <w:t xml:space="preserve">Spread and Fees</w:t>
      </w:r>
    </w:p>
    <w:p>
      <w:pPr>
        <w:spacing w:after="140"/>
      </w:pPr>
      <w:r>
        <w:rPr>
          <w:rFonts w:ascii="Times New Roman" w:cs="Times New Roman" w:eastAsia="Times New Roman" w:hAnsi="Times New Roman"/>
          <w:color w:val="333333"/>
          <w:sz w:val="22"/>
          <w:szCs w:val="22"/>
        </w:rPr>
        <w:t xml:space="preserve">NIHA’s quoted prices include a bid-ask spread that reflects NIHA’s cost of hedging, inventory management, and operational overheads. The spread varies by instrument, transaction size, and market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Instrument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Standard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Block (&gt;10k)</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Conversion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EUA</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1.5–3.0%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0.8–1.5%</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2.0–4.0%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1.0–2.0%</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VCU</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2.5–5.0%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1.5–3.0%</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 EUA</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N/A</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3.0–6.0%</w:t>
            </w:r>
          </w:p>
        </w:tc>
      </w:tr>
    </w:tbl>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5. EXECUTION STANDARDS</w:t>
      </w:r>
    </w:p>
    <w:p>
      <w:pPr>
        <w:spacing w:before="280" w:after="160"/>
      </w:pPr>
      <w:r>
        <w:rPr>
          <w:rFonts w:ascii="Times New Roman" w:cs="Times New Roman" w:eastAsia="Times New Roman" w:hAnsi="Times New Roman"/>
          <w:b/>
          <w:bCs/>
          <w:color w:val="2E75B6"/>
          <w:sz w:val="24"/>
          <w:szCs w:val="24"/>
        </w:rPr>
        <w:t xml:space="preserve">5.1 </w:t>
      </w:r>
      <w:r>
        <w:rPr>
          <w:rFonts w:ascii="Times New Roman" w:cs="Times New Roman" w:eastAsia="Times New Roman" w:hAnsi="Times New Roman"/>
          <w:b/>
          <w:bCs/>
          <w:color w:val="2E75B6"/>
          <w:sz w:val="24"/>
          <w:szCs w:val="24"/>
        </w:rPr>
        <w:t xml:space="preserve">Best Execution Factors</w:t>
      </w:r>
    </w:p>
    <w:p>
      <w:pPr>
        <w:spacing w:after="140"/>
      </w:pPr>
      <w:r>
        <w:rPr>
          <w:rFonts w:ascii="Times New Roman" w:cs="Times New Roman" w:eastAsia="Times New Roman" w:hAnsi="Times New Roman"/>
          <w:color w:val="333333"/>
          <w:sz w:val="22"/>
          <w:szCs w:val="22"/>
        </w:rPr>
        <w:t xml:space="preserve">When executing client instructions, NIHA considers the following factors, in order of priority:</w:t>
      </w:r>
    </w:p>
    <w:p>
      <w:pPr>
        <w:pStyle w:val="ListParagraph"/>
        <w:numPr>
          <w:ilvl w:val="0"/>
          <w:numId w:val="2"/>
        </w:numPr>
        <w:spacing w:after="120"/>
      </w:pPr>
      <w:r>
        <w:rPr>
          <w:rFonts w:ascii="Times New Roman" w:cs="Times New Roman" w:eastAsia="Times New Roman" w:hAnsi="Times New Roman"/>
          <w:color w:val="333333"/>
          <w:sz w:val="22"/>
          <w:szCs w:val="22"/>
        </w:rPr>
        <w:t xml:space="preserve">Price: The quoted price relative to available benchmark prices.</w:t>
      </w:r>
    </w:p>
    <w:p>
      <w:pPr>
        <w:pStyle w:val="ListParagraph"/>
        <w:numPr>
          <w:ilvl w:val="0"/>
          <w:numId w:val="2"/>
        </w:numPr>
        <w:spacing w:after="120"/>
      </w:pPr>
      <w:r>
        <w:rPr>
          <w:rFonts w:ascii="Times New Roman" w:cs="Times New Roman" w:eastAsia="Times New Roman" w:hAnsi="Times New Roman"/>
          <w:color w:val="333333"/>
          <w:sz w:val="22"/>
          <w:szCs w:val="22"/>
        </w:rPr>
        <w:t xml:space="preserve">Cost: Total cost of execution including spread, fees, and settlement charges.</w:t>
      </w:r>
    </w:p>
    <w:p>
      <w:pPr>
        <w:pStyle w:val="ListParagraph"/>
        <w:numPr>
          <w:ilvl w:val="0"/>
          <w:numId w:val="2"/>
        </w:numPr>
        <w:spacing w:after="120"/>
      </w:pPr>
      <w:r>
        <w:rPr>
          <w:rFonts w:ascii="Times New Roman" w:cs="Times New Roman" w:eastAsia="Times New Roman" w:hAnsi="Times New Roman"/>
          <w:color w:val="333333"/>
          <w:sz w:val="22"/>
          <w:szCs w:val="22"/>
        </w:rPr>
        <w:t xml:space="preserve">Speed: Time from instruction receipt to execution confirmation.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Likelihood of Execution: Probability of completing the full order size at the quoted price.</w:t>
      </w:r>
    </w:p>
    <w:p>
      <w:pPr>
        <w:pStyle w:val="ListParagraph"/>
        <w:numPr>
          <w:ilvl w:val="0"/>
          <w:numId w:val="2"/>
        </w:numPr>
        <w:spacing w:after="120"/>
      </w:pPr>
      <w:r>
        <w:rPr>
          <w:rFonts w:ascii="Times New Roman" w:cs="Times New Roman" w:eastAsia="Times New Roman" w:hAnsi="Times New Roman"/>
          <w:color w:val="333333"/>
          <w:sz w:val="22"/>
          <w:szCs w:val="22"/>
        </w:rPr>
        <w:t xml:space="preserve">Settlement: Certainty and timeliness of delivery and payment.</w:t>
      </w:r>
    </w:p>
    <w:p>
      <w:pPr>
        <w:pStyle w:val="ListParagraph"/>
        <w:numPr>
          <w:ilvl w:val="0"/>
          <w:numId w:val="2"/>
        </w:numPr>
        <w:spacing w:after="120"/>
      </w:pPr>
      <w:r>
        <w:rPr>
          <w:rFonts w:ascii="Times New Roman" w:cs="Times New Roman" w:eastAsia="Times New Roman" w:hAnsi="Times New Roman"/>
          <w:color w:val="333333"/>
          <w:sz w:val="22"/>
          <w:szCs w:val="22"/>
        </w:rPr>
        <w:t xml:space="preserve">Market Impact: For large orders, minimisation of adverse price movement.</w:t>
      </w:r>
    </w:p>
    <w:p>
      <w:pPr>
        <w:spacing w:before="280" w:after="160"/>
      </w:pPr>
      <w:r>
        <w:rPr>
          <w:rFonts w:ascii="Times New Roman" w:cs="Times New Roman" w:eastAsia="Times New Roman" w:hAnsi="Times New Roman"/>
          <w:b/>
          <w:bCs/>
          <w:color w:val="2E75B6"/>
          <w:sz w:val="24"/>
          <w:szCs w:val="24"/>
        </w:rPr>
        <w:t xml:space="preserve">5.2 </w:t>
      </w:r>
      <w:r>
        <w:rPr>
          <w:rFonts w:ascii="Times New Roman" w:cs="Times New Roman" w:eastAsia="Times New Roman" w:hAnsi="Times New Roman"/>
          <w:b/>
          <w:bCs/>
          <w:color w:val="2E75B6"/>
          <w:sz w:val="24"/>
          <w:szCs w:val="24"/>
        </w:rPr>
        <w:t xml:space="preserve">Execution Timeframes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Order Type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Target Execution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Maximum</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Market Order (EUA)</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Within 15 minutes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 business day</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Market Order (CEA)</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Within 30 minutes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1 business day</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Limit Order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As soon as price is available</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30 calendar days (GTC)</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Conversion Order</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Within 1 business day</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T+10 business days</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Block Trade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As negotiated</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5 business days</w:t>
            </w:r>
          </w:p>
        </w:tc>
      </w:tr>
    </w:tbl>
    <w:p>
      <w:pPr>
        <w:pBdr>
          <w:bottom w:val="single" w:color="1B2A4A" w:sz="2" w:space="6"/>
        </w:pBdr>
        <w:spacing w:before="400" w:after="240"/>
      </w:pPr>
      <w:r>
        <w:rPr>
          <w:rFonts w:ascii="Times New Roman" w:cs="Times New Roman" w:eastAsia="Times New Roman" w:hAnsi="Times New Roman"/>
          <w:b/>
          <w:bCs/>
          <w:color w:val="1B2A4A"/>
          <w:sz w:val="28"/>
          <w:szCs w:val="28"/>
        </w:rPr>
        <w:t xml:space="preserve">6. SETTLEMENT PROCEDURES</w:t>
      </w:r>
    </w:p>
    <w:p>
      <w:pPr>
        <w:spacing w:before="280" w:after="160"/>
      </w:pPr>
      <w:r>
        <w:rPr>
          <w:rFonts w:ascii="Times New Roman" w:cs="Times New Roman" w:eastAsia="Times New Roman" w:hAnsi="Times New Roman"/>
          <w:b/>
          <w:bCs/>
          <w:color w:val="2E75B6"/>
          <w:sz w:val="24"/>
          <w:szCs w:val="24"/>
        </w:rPr>
        <w:t xml:space="preserve">6.1 </w:t>
      </w:r>
      <w:r>
        <w:rPr>
          <w:rFonts w:ascii="Times New Roman" w:cs="Times New Roman" w:eastAsia="Times New Roman" w:hAnsi="Times New Roman"/>
          <w:b/>
          <w:bCs/>
          <w:color w:val="2E75B6"/>
          <w:sz w:val="24"/>
          <w:szCs w:val="24"/>
        </w:rPr>
        <w:t xml:space="preserve">Settlement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Transaction Type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Carbon Credit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Payment</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Confirmation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EUA Purchase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T+2 (DVP)</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Same day</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Purchase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T+3 to T+5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T+2 (pre-funding)</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Same day</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VCU Purchase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T+2 (DVP)</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Same day</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CEA → EUA Conversion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T+5 to T+10</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As per Conversion Agreement</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Within 24h</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Block Trade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Negotiated</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Negotiated</w:t>
            </w:r>
          </w:p>
        </w:tc>
        <w:tc>
          <w:tcPr>
            <w:tcW w:type="dxa" w:w="2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Within 24h</w:t>
            </w:r>
          </w:p>
        </w:tc>
      </w:tr>
    </w:tbl>
    <w:p>
      <w:pPr>
        <w:spacing w:before="280" w:after="160"/>
      </w:pPr>
      <w:r>
        <w:rPr>
          <w:rFonts w:ascii="Times New Roman" w:cs="Times New Roman" w:eastAsia="Times New Roman" w:hAnsi="Times New Roman"/>
          <w:b/>
          <w:bCs/>
          <w:color w:val="2E75B6"/>
          <w:sz w:val="24"/>
          <w:szCs w:val="24"/>
        </w:rPr>
        <w:t xml:space="preserve">6.2 </w:t>
      </w:r>
      <w:r>
        <w:rPr>
          <w:rFonts w:ascii="Times New Roman" w:cs="Times New Roman" w:eastAsia="Times New Roman" w:hAnsi="Times New Roman"/>
          <w:b/>
          <w:bCs/>
          <w:color w:val="2E75B6"/>
          <w:sz w:val="24"/>
          <w:szCs w:val="24"/>
        </w:rPr>
        <w:t xml:space="preserve">Trade Confirmation</w:t>
      </w:r>
    </w:p>
    <w:p>
      <w:pPr>
        <w:spacing w:after="140"/>
      </w:pPr>
      <w:r>
        <w:rPr>
          <w:rFonts w:ascii="Times New Roman" w:cs="Times New Roman" w:eastAsia="Times New Roman" w:hAnsi="Times New Roman"/>
          <w:color w:val="333333"/>
          <w:sz w:val="22"/>
          <w:szCs w:val="22"/>
        </w:rPr>
        <w:t xml:space="preserve">Following execution of each transaction, NIHA shall issue a written Trade Confirmation to the client within 4 hours (or by close of business on the same day for transactions executed after 15:00 HKT). The Trade Confirmation shall contain:</w:t>
      </w:r>
    </w:p>
    <w:p>
      <w:pPr>
        <w:pStyle w:val="ListParagraph"/>
        <w:numPr>
          <w:ilvl w:val="0"/>
          <w:numId w:val="2"/>
        </w:numPr>
        <w:spacing w:after="120"/>
      </w:pPr>
      <w:r>
        <w:rPr>
          <w:rFonts w:ascii="Times New Roman" w:cs="Times New Roman" w:eastAsia="Times New Roman" w:hAnsi="Times New Roman"/>
          <w:color w:val="333333"/>
          <w:sz w:val="22"/>
          <w:szCs w:val="22"/>
        </w:rPr>
        <w:t xml:space="preserve">NIHA transaction reference number</w:t>
      </w:r>
    </w:p>
    <w:p>
      <w:pPr>
        <w:pStyle w:val="ListParagraph"/>
        <w:numPr>
          <w:ilvl w:val="0"/>
          <w:numId w:val="2"/>
        </w:numPr>
        <w:spacing w:after="120"/>
      </w:pPr>
      <w:r>
        <w:rPr>
          <w:rFonts w:ascii="Times New Roman" w:cs="Times New Roman" w:eastAsia="Times New Roman" w:hAnsi="Times New Roman"/>
          <w:color w:val="333333"/>
          <w:sz w:val="22"/>
          <w:szCs w:val="22"/>
        </w:rPr>
        <w:t xml:space="preserve">Date and time of execution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Instrument type, volume, and unit (whole units)</w:t>
      </w:r>
    </w:p>
    <w:p>
      <w:pPr>
        <w:pStyle w:val="ListParagraph"/>
        <w:numPr>
          <w:ilvl w:val="0"/>
          <w:numId w:val="2"/>
        </w:numPr>
        <w:spacing w:after="120"/>
      </w:pPr>
      <w:r>
        <w:rPr>
          <w:rFonts w:ascii="Times New Roman" w:cs="Times New Roman" w:eastAsia="Times New Roman" w:hAnsi="Times New Roman"/>
          <w:color w:val="333333"/>
          <w:sz w:val="22"/>
          <w:szCs w:val="22"/>
        </w:rPr>
        <w:t xml:space="preserve">Execution price (per whole units and total consideration)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Applicable fees and charges</w:t>
      </w:r>
    </w:p>
    <w:p>
      <w:pPr>
        <w:pStyle w:val="ListParagraph"/>
        <w:numPr>
          <w:ilvl w:val="0"/>
          <w:numId w:val="2"/>
        </w:numPr>
        <w:spacing w:after="120"/>
      </w:pPr>
      <w:r>
        <w:rPr>
          <w:rFonts w:ascii="Times New Roman" w:cs="Times New Roman" w:eastAsia="Times New Roman" w:hAnsi="Times New Roman"/>
          <w:color w:val="333333"/>
          <w:sz w:val="22"/>
          <w:szCs w:val="22"/>
        </w:rPr>
        <w:t xml:space="preserve">Settlement date(s) for carbon credit delivery and payment</w:t>
      </w:r>
    </w:p>
    <w:p>
      <w:pPr>
        <w:pStyle w:val="ListParagraph"/>
        <w:numPr>
          <w:ilvl w:val="0"/>
          <w:numId w:val="2"/>
        </w:numPr>
        <w:spacing w:after="120"/>
      </w:pPr>
      <w:r>
        <w:rPr>
          <w:rFonts w:ascii="Times New Roman" w:cs="Times New Roman" w:eastAsia="Times New Roman" w:hAnsi="Times New Roman"/>
          <w:color w:val="333333"/>
          <w:sz w:val="22"/>
          <w:szCs w:val="22"/>
        </w:rPr>
        <w:t xml:space="preserve">Registry details and account references (where applicable)</w:t>
      </w:r>
    </w:p>
    <w:p>
      <w:r>
        <w:br w:type="page"/>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7. CONFLICT OF INTEREST MANAGEMENT</w:t>
      </w:r>
    </w:p>
    <w:p>
      <w:pPr>
        <w:spacing w:after="140"/>
      </w:pPr>
      <w:r>
        <w:rPr>
          <w:rFonts w:ascii="Times New Roman" w:cs="Times New Roman" w:eastAsia="Times New Roman" w:hAnsi="Times New Roman"/>
          <w:color w:val="333333"/>
          <w:sz w:val="22"/>
          <w:szCs w:val="22"/>
        </w:rPr>
        <w:t xml:space="preserve">As NIHA operates as a principal counterparty, NIHA has an inherent conflict of interest with its clients: NIHA’s profit on a transaction is directly related to the spread charged to the client. NIHA manages this conflict through the following measures:</w:t>
      </w:r>
    </w:p>
    <w:p>
      <w:pPr>
        <w:pStyle w:val="ListParagraph"/>
        <w:numPr>
          <w:ilvl w:val="0"/>
          <w:numId w:val="2"/>
        </w:numPr>
        <w:spacing w:after="120"/>
      </w:pPr>
      <w:r>
        <w:rPr>
          <w:rFonts w:ascii="Times New Roman" w:cs="Times New Roman" w:eastAsia="Times New Roman" w:hAnsi="Times New Roman"/>
          <w:color w:val="333333"/>
          <w:sz w:val="22"/>
          <w:szCs w:val="22"/>
        </w:rPr>
        <w:t xml:space="preserve">Transparency: All pricing benchmarks and spread ranges are disclosed in this Policy and in the Master Service Agreement.</w:t>
      </w:r>
    </w:p>
    <w:p>
      <w:pPr>
        <w:pStyle w:val="ListParagraph"/>
        <w:numPr>
          <w:ilvl w:val="0"/>
          <w:numId w:val="2"/>
        </w:numPr>
        <w:spacing w:after="120"/>
      </w:pPr>
      <w:r>
        <w:rPr>
          <w:rFonts w:ascii="Times New Roman" w:cs="Times New Roman" w:eastAsia="Times New Roman" w:hAnsi="Times New Roman"/>
          <w:color w:val="333333"/>
          <w:sz w:val="22"/>
          <w:szCs w:val="22"/>
        </w:rPr>
        <w:t xml:space="preserve">Benchmark Publication: The NIHA Platform publishes indicative mid-market prices alongside NIHA’s bid and offer prices, enabling clients to assess the spread.</w:t>
      </w:r>
    </w:p>
    <w:p>
      <w:pPr>
        <w:pStyle w:val="ListParagraph"/>
        <w:numPr>
          <w:ilvl w:val="0"/>
          <w:numId w:val="2"/>
        </w:numPr>
        <w:spacing w:after="120"/>
      </w:pPr>
      <w:r>
        <w:rPr>
          <w:rFonts w:ascii="Times New Roman" w:cs="Times New Roman" w:eastAsia="Times New Roman" w:hAnsi="Times New Roman"/>
          <w:color w:val="333333"/>
          <w:sz w:val="22"/>
          <w:szCs w:val="22"/>
        </w:rPr>
        <w:t xml:space="preserve">Independent Pricing Review: NIHA’s pricing methodology is subject to quarterly review by an independent risk function.</w:t>
      </w:r>
    </w:p>
    <w:p>
      <w:pPr>
        <w:pStyle w:val="ListParagraph"/>
        <w:numPr>
          <w:ilvl w:val="0"/>
          <w:numId w:val="2"/>
        </w:numPr>
        <w:spacing w:after="120"/>
      </w:pPr>
      <w:r>
        <w:rPr>
          <w:rFonts w:ascii="Times New Roman" w:cs="Times New Roman" w:eastAsia="Times New Roman" w:hAnsi="Times New Roman"/>
          <w:color w:val="333333"/>
          <w:sz w:val="22"/>
          <w:szCs w:val="22"/>
        </w:rPr>
        <w:t xml:space="preserve">Client Right of Comparison: Clients are free to compare NIHA’s quoted prices with publicly available benchmark prices and are under no obligation to execute.</w:t>
      </w:r>
    </w:p>
    <w:p>
      <w:pPr>
        <w:pStyle w:val="ListParagraph"/>
        <w:numPr>
          <w:ilvl w:val="0"/>
          <w:numId w:val="2"/>
        </w:numPr>
        <w:spacing w:after="120"/>
      </w:pPr>
      <w:r>
        <w:rPr>
          <w:rFonts w:ascii="Times New Roman" w:cs="Times New Roman" w:eastAsia="Times New Roman" w:hAnsi="Times New Roman"/>
          <w:color w:val="333333"/>
          <w:sz w:val="22"/>
          <w:szCs w:val="22"/>
        </w:rPr>
        <w:t xml:space="preserve">Fair Allocation: In situations where NIHA’s available inventory is insufficient to fill all pending orders, orders are allocated on a first-in, first-out (FIFO) basis.</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8. RECORD KEEPING AND AUDIT TRAIL</w:t>
      </w:r>
    </w:p>
    <w:p>
      <w:pPr>
        <w:spacing w:after="140"/>
      </w:pPr>
      <w:r>
        <w:rPr>
          <w:rFonts w:ascii="Times New Roman" w:cs="Times New Roman" w:eastAsia="Times New Roman" w:hAnsi="Times New Roman"/>
          <w:color w:val="333333"/>
          <w:sz w:val="22"/>
          <w:szCs w:val="22"/>
        </w:rPr>
        <w:t xml:space="preserve">NIHA maintains complete records of all transactions, including:</w:t>
      </w:r>
    </w:p>
    <w:p>
      <w:pPr>
        <w:pStyle w:val="ListParagraph"/>
        <w:numPr>
          <w:ilvl w:val="0"/>
          <w:numId w:val="2"/>
        </w:numPr>
        <w:spacing w:after="120"/>
      </w:pPr>
      <w:r>
        <w:rPr>
          <w:rFonts w:ascii="Times New Roman" w:cs="Times New Roman" w:eastAsia="Times New Roman" w:hAnsi="Times New Roman"/>
          <w:color w:val="333333"/>
          <w:sz w:val="22"/>
          <w:szCs w:val="22"/>
        </w:rPr>
        <w:t xml:space="preserve">Client instructions (original form and any amendments)</w:t>
      </w:r>
    </w:p>
    <w:p>
      <w:pPr>
        <w:pStyle w:val="ListParagraph"/>
        <w:numPr>
          <w:ilvl w:val="0"/>
          <w:numId w:val="2"/>
        </w:numPr>
        <w:spacing w:after="120"/>
      </w:pPr>
      <w:r>
        <w:rPr>
          <w:rFonts w:ascii="Times New Roman" w:cs="Times New Roman" w:eastAsia="Times New Roman" w:hAnsi="Times New Roman"/>
          <w:color w:val="333333"/>
          <w:sz w:val="22"/>
          <w:szCs w:val="22"/>
        </w:rPr>
        <w:t xml:space="preserve">Order validation and compliance check results</w:t>
      </w:r>
    </w:p>
    <w:p>
      <w:pPr>
        <w:pStyle w:val="ListParagraph"/>
        <w:numPr>
          <w:ilvl w:val="0"/>
          <w:numId w:val="2"/>
        </w:numPr>
        <w:spacing w:after="120"/>
      </w:pPr>
      <w:r>
        <w:rPr>
          <w:rFonts w:ascii="Times New Roman" w:cs="Times New Roman" w:eastAsia="Times New Roman" w:hAnsi="Times New Roman"/>
          <w:color w:val="333333"/>
          <w:sz w:val="22"/>
          <w:szCs w:val="22"/>
        </w:rPr>
        <w:t xml:space="preserve">Execution details (price, time, counterparty, venue)</w:t>
      </w:r>
    </w:p>
    <w:p>
      <w:pPr>
        <w:pStyle w:val="ListParagraph"/>
        <w:numPr>
          <w:ilvl w:val="0"/>
          <w:numId w:val="2"/>
        </w:numPr>
        <w:spacing w:after="120"/>
      </w:pPr>
      <w:r>
        <w:rPr>
          <w:rFonts w:ascii="Times New Roman" w:cs="Times New Roman" w:eastAsia="Times New Roman" w:hAnsi="Times New Roman"/>
          <w:color w:val="333333"/>
          <w:sz w:val="22"/>
          <w:szCs w:val="22"/>
        </w:rPr>
        <w:t xml:space="preserve">Trade confirmations issued</w:t>
      </w:r>
    </w:p>
    <w:p>
      <w:pPr>
        <w:pStyle w:val="ListParagraph"/>
        <w:numPr>
          <w:ilvl w:val="0"/>
          <w:numId w:val="2"/>
        </w:numPr>
        <w:spacing w:after="120"/>
      </w:pPr>
      <w:r>
        <w:rPr>
          <w:rFonts w:ascii="Times New Roman" w:cs="Times New Roman" w:eastAsia="Times New Roman" w:hAnsi="Times New Roman"/>
          <w:color w:val="333333"/>
          <w:sz w:val="22"/>
          <w:szCs w:val="22"/>
        </w:rPr>
        <w:t xml:space="preserve">Settlement records (carbon credit transfers and payment receipts)</w:t>
      </w:r>
    </w:p>
    <w:p>
      <w:pPr>
        <w:pStyle w:val="ListParagraph"/>
        <w:numPr>
          <w:ilvl w:val="0"/>
          <w:numId w:val="2"/>
        </w:numPr>
        <w:spacing w:after="120"/>
      </w:pPr>
      <w:r>
        <w:rPr>
          <w:rFonts w:ascii="Times New Roman" w:cs="Times New Roman" w:eastAsia="Times New Roman" w:hAnsi="Times New Roman"/>
          <w:color w:val="333333"/>
          <w:sz w:val="22"/>
          <w:szCs w:val="22"/>
        </w:rPr>
        <w:t xml:space="preserve">Pricing data and benchmark references at time of execution</w:t>
      </w:r>
    </w:p>
    <w:p>
      <w:pPr>
        <w:spacing w:after="140"/>
      </w:pPr>
      <w:r>
        <w:rPr>
          <w:rFonts w:ascii="Times New Roman" w:cs="Times New Roman" w:eastAsia="Times New Roman" w:hAnsi="Times New Roman"/>
          <w:color w:val="333333"/>
          <w:sz w:val="22"/>
          <w:szCs w:val="22"/>
        </w:rPr>
        <w:t xml:space="preserve">All records are maintained for a minimum period of seven (7) years from the date of the transaction, in accordance with the applicable companies legislation in Hong Kong and applicable anti-money laundering legislation (applicable anti-money laundering legislation) record-keeping requirements.</w:t>
      </w:r>
    </w:p>
    <w:p>
      <w:pPr>
        <w:pBdr>
          <w:bottom w:val="single" w:color="1B2A4A" w:sz="2" w:space="6"/>
        </w:pBdr>
        <w:spacing w:before="400" w:after="240"/>
      </w:pPr>
      <w:r>
        <w:rPr>
          <w:rFonts w:ascii="Times New Roman" w:cs="Times New Roman" w:eastAsia="Times New Roman" w:hAnsi="Times New Roman"/>
          <w:b/>
          <w:bCs/>
          <w:color w:val="1B2A4A"/>
          <w:sz w:val="28"/>
          <w:szCs w:val="28"/>
        </w:rPr>
        <w:t xml:space="preserve">9. REVIEW AND AMENDMENTS</w:t>
      </w:r>
    </w:p>
    <w:p>
      <w:pPr>
        <w:spacing w:after="140"/>
      </w:pPr>
      <w:r>
        <w:rPr>
          <w:rFonts w:ascii="Times New Roman" w:cs="Times New Roman" w:eastAsia="Times New Roman" w:hAnsi="Times New Roman"/>
          <w:color w:val="333333"/>
          <w:sz w:val="22"/>
          <w:szCs w:val="22"/>
        </w:rPr>
        <w:t xml:space="preserve">This Policy is reviewed at least annually by the Compliance Officer and approved by the Board of Directors. Material amendments are communicated to clients in writing at least 30 days prior to taking effect.</w:t>
      </w:r>
    </w:p>
    <w:p>
      <w:pPr>
        <w:spacing w:after="140"/>
      </w:pPr>
      <w:r>
        <w:rPr>
          <w:rFonts w:ascii="Times New Roman" w:cs="Times New Roman" w:eastAsia="Times New Roman" w:hAnsi="Times New Roman"/>
          <w:color w:val="333333"/>
          <w:sz w:val="22"/>
          <w:szCs w:val="22"/>
        </w:rPr>
        <w:t xml:space="preserve">The Compliance Officer may approve interim amendments where required by regulatory developments or material changes in market conditions, subject to Board ratification within 60 days.</w:t>
      </w:r>
    </w:p>
    <w:p>
      <w:pPr>
        <w:spacing w:before="600"/>
      </w:pPr>
    </w:p>
    <w:p>
      <w:pPr>
        <w:spacing w:after="140"/>
      </w:pPr>
      <w:r>
        <w:rPr>
          <w:rFonts w:ascii="Times New Roman" w:cs="Times New Roman" w:eastAsia="Times New Roman" w:hAnsi="Times New Roman"/>
          <w:b/>
          <w:bCs/>
          <w:color w:val="333333"/>
          <w:sz w:val="22"/>
          <w:szCs w:val="22"/>
        </w:rPr>
        <w:t xml:space="preserve">APPROVED: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Managing Director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Compliance Officer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r>
      <w:t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Head of Trading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Times New Roman" w:cs="Times New Roman" w:eastAsia="Times New Roman" w:hAnsi="Times New Roman"/>
                <w:color w:val="333333"/>
                <w:sz w:val="20"/>
                <w:szCs w:val="20"/>
              </w:rPr>
              <w:t xml:space="preserve"> </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1" w:space="4"/>
      </w:pBd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Confidential | For Client and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jc w:val="right"/>
    </w:pPr>
    <w:r>
      <w:rPr>
        <w:rFonts w:ascii="Times New Roman" w:cs="Times New Roman" w:eastAsia="Times New Roman" w:hAnsi="Times New Roman"/>
        <w:b/>
        <w:bCs/>
        <w:color w:val="1B2A4A"/>
        <w:sz w:val="16"/>
        <w:szCs w:val="16"/>
      </w:rPr>
      <w:t xml:space="preserve">ITALY NIHAO GROUP LIMITED</w:t>
    </w:r>
    <w:r>
      <w:rPr>
        <w:rFonts w:ascii="Times New Roman" w:cs="Times New Roman" w:eastAsia="Times New Roman" w:hAnsi="Times New Roman"/>
        <w:color w:val="666666"/>
        <w:sz w:val="16"/>
        <w:szCs w:val="16"/>
      </w:rPr>
      <w:t xml:space="preserve"> | Trade Execution Policy | NIHA-TEP-2026-001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2026-02-20T11:11:28.048Z</dcterms:created>
  <dcterms:modified xsi:type="dcterms:W3CDTF">2026-02-20T11:11:28.048Z</dcterms:modified>
</cp:coreProperties>
</file>

<file path=docProps/custom.xml><?xml version="1.0" encoding="utf-8"?>
<Properties xmlns="http://schemas.openxmlformats.org/officeDocument/2006/custom-properties" xmlns:vt="http://schemas.openxmlformats.org/officeDocument/2006/docPropsVTypes"/>
</file>