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Times New Roman" w:cs="Times New Roman" w:eastAsia="Times New Roman" w:hAnsi="Times New Roman"/>
          <w:b/>
          <w:bCs/>
          <w:color w:val="1B2A4A"/>
          <w:sz w:val="36"/>
          <w:szCs w:val="36"/>
        </w:rPr>
        <w:t xml:space="preserve">ITALY NIHAO GROUP LIMITED</w:t>
      </w:r>
    </w:p>
    <w:p>
      <w:pPr>
        <w:spacing w:after="200"/>
        <w:jc w:val="center"/>
      </w:pPr>
      <w:r>
        <w:rPr>
          <w:rFonts w:ascii="Times New Roman" w:cs="Times New Roman" w:eastAsia="Times New Roman" w:hAnsi="Times New Roman"/>
          <w:color w:val="2E75B6"/>
          <w:sz w:val="24"/>
          <w:szCs w:val="24"/>
        </w:rPr>
        <w:t xml:space="preserve">COMPLIANCE DEPARTMENT</w:t>
      </w:r>
    </w:p>
    <w:p>
      <w:pPr>
        <w:pBdr>
          <w:bottom w:val="single" w:color="1B2A4A" w:sz="3" w:space="10"/>
        </w:pBdr>
        <w:spacing w:after="600"/>
        <w:jc w:val="center"/>
      </w:pPr>
      <w:r>
        <w:rPr>
          <w:rFonts w:ascii="Times New Roman" w:cs="Times New Roman" w:eastAsia="Times New Roman" w:hAnsi="Times New Roman"/>
          <w:b/>
          <w:bCs/>
          <w:color w:val="1B2A4A"/>
          <w:sz w:val="32"/>
          <w:szCs w:val="32"/>
        </w:rPr>
        <w:t xml:space="preserve">ANNUAL COMPLIANCE REPORT</w:t>
      </w:r>
    </w:p>
    <w:p>
      <w:pPr>
        <w:spacing w:after="100"/>
        <w:jc w:val="center"/>
      </w:pPr>
      <w:r>
        <w:rPr>
          <w:rFonts w:ascii="Times New Roman" w:cs="Times New Roman" w:eastAsia="Times New Roman" w:hAnsi="Times New Roman"/>
          <w:color w:val="333333"/>
          <w:sz w:val="24"/>
          <w:szCs w:val="24"/>
        </w:rPr>
        <w:t xml:space="preserve">Reporting Period: 1 June 2025 — 31 December 2025</w:t>
      </w:r>
    </w:p>
    <w:p>
      <w:pPr>
        <w:spacing w:after="100"/>
        <w:jc w:val="center"/>
      </w:pPr>
      <w:r>
        <w:rPr>
          <w:rFonts w:ascii="Times New Roman" w:cs="Times New Roman" w:eastAsia="Times New Roman" w:hAnsi="Times New Roman"/>
          <w:color w:val="666666"/>
          <w:sz w:val="22"/>
          <w:szCs w:val="22"/>
        </w:rPr>
        <w:t xml:space="preserve">Presented to the Board of Directors — 15 January 2026</w:t>
      </w:r>
    </w:p>
    <w:p>
      <w:pPr>
        <w:spacing w:after="400"/>
        <w:jc w:val="center"/>
      </w:pPr>
      <w:r>
        <w:rPr>
          <w:rFonts w:ascii="Times New Roman" w:cs="Times New Roman" w:eastAsia="Times New Roman" w:hAnsi="Times New Roman"/>
          <w:color w:val="666666"/>
          <w:sz w:val="20"/>
          <w:szCs w:val="20"/>
        </w:rPr>
        <w:t xml:space="preserve">Reference: NIHA-ACR-2025-001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0F2F5" w:val="solid"/>
          </w:tcPr>
          <w:p>
            <w:pPr>
              <w:spacing w:before="50" w:after="50"/>
            </w:pPr>
            <w:r>
              <w:rPr>
                <w:rFonts w:ascii="Times New Roman" w:cs="Times New Roman" w:eastAsia="Times New Roman" w:hAnsi="Times New Roman"/>
                <w:b/>
                <w:bCs/>
                <w:color w:val="1B2A4A"/>
                <w:sz w:val="20"/>
                <w:szCs w:val="20"/>
              </w:rPr>
              <w:t xml:space="preserve">Prepared by:</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Compliance Officer, Italy Nihao Group Limited</w:t>
            </w:r>
          </w:p>
        </w:tc>
      </w:tr>
      <w:tr>
        <w:tc>
          <w:tcPr>
            <w:tcW w:type="pct" w:w="35%"/>
            <w:tcBorders>
              <w:top w:val="single" w:color="CCCCCC" w:sz="1"/>
              <w:left w:val="single" w:color="CCCCCC" w:sz="1"/>
              <w:bottom w:val="single" w:color="CCCCCC" w:sz="1"/>
              <w:right w:val="single" w:color="CCCCCC" w:sz="1"/>
            </w:tcBorders>
            <w:shd w:color="F0F2F5" w:val="solid"/>
          </w:tcPr>
          <w:p>
            <w:pPr>
              <w:spacing w:before="50" w:after="50"/>
            </w:pPr>
            <w:r>
              <w:rPr>
                <w:rFonts w:ascii="Times New Roman" w:cs="Times New Roman" w:eastAsia="Times New Roman" w:hAnsi="Times New Roman"/>
                <w:b/>
                <w:bCs/>
                <w:color w:val="1B2A4A"/>
                <w:sz w:val="20"/>
                <w:szCs w:val="20"/>
              </w:rPr>
              <w:t xml:space="preserve">Reviewed by:</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Money Laundering Reporting Officer (MLRO)</w:t>
            </w:r>
          </w:p>
        </w:tc>
      </w:tr>
      <w:tr>
        <w:tc>
          <w:tcPr>
            <w:tcW w:type="pct" w:w="35%"/>
            <w:tcBorders>
              <w:top w:val="single" w:color="CCCCCC" w:sz="1"/>
              <w:left w:val="single" w:color="CCCCCC" w:sz="1"/>
              <w:bottom w:val="single" w:color="CCCCCC" w:sz="1"/>
              <w:right w:val="single" w:color="CCCCCC" w:sz="1"/>
            </w:tcBorders>
            <w:shd w:color="F0F2F5" w:val="solid"/>
          </w:tcPr>
          <w:p>
            <w:pPr>
              <w:spacing w:before="50" w:after="50"/>
            </w:pPr>
            <w:r>
              <w:rPr>
                <w:rFonts w:ascii="Times New Roman" w:cs="Times New Roman" w:eastAsia="Times New Roman" w:hAnsi="Times New Roman"/>
                <w:b/>
                <w:bCs/>
                <w:color w:val="1B2A4A"/>
                <w:sz w:val="20"/>
                <w:szCs w:val="20"/>
              </w:rPr>
              <w:t xml:space="preserve">Approved by:</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Board of Directors</w:t>
            </w:r>
          </w:p>
        </w:tc>
      </w:tr>
      <w:tr>
        <w:tc>
          <w:tcPr>
            <w:tcW w:type="pct" w:w="35%"/>
            <w:tcBorders>
              <w:top w:val="single" w:color="CCCCCC" w:sz="1"/>
              <w:left w:val="single" w:color="CCCCCC" w:sz="1"/>
              <w:bottom w:val="single" w:color="CCCCCC" w:sz="1"/>
              <w:right w:val="single" w:color="CCCCCC" w:sz="1"/>
            </w:tcBorders>
            <w:shd w:color="F0F2F5" w:val="solid"/>
          </w:tcPr>
          <w:p>
            <w:pPr>
              <w:spacing w:before="50" w:after="50"/>
            </w:pPr>
            <w:r>
              <w:rPr>
                <w:rFonts w:ascii="Times New Roman" w:cs="Times New Roman" w:eastAsia="Times New Roman" w:hAnsi="Times New Roman"/>
                <w:b/>
                <w:bCs/>
                <w:color w:val="1B2A4A"/>
                <w:sz w:val="20"/>
                <w:szCs w:val="20"/>
              </w:rPr>
              <w:t xml:space="preserve">Classification:</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BOARD CONFIDENTIAL</w:t>
            </w:r>
          </w:p>
        </w:tc>
      </w:tr>
      <w:tr>
        <w:tc>
          <w:tcPr>
            <w:tcW w:type="pct" w:w="35%"/>
            <w:tcBorders>
              <w:top w:val="single" w:color="CCCCCC" w:sz="1"/>
              <w:left w:val="single" w:color="CCCCCC" w:sz="1"/>
              <w:bottom w:val="single" w:color="CCCCCC" w:sz="1"/>
              <w:right w:val="single" w:color="CCCCCC" w:sz="1"/>
            </w:tcBorders>
            <w:shd w:color="F0F2F5" w:val="solid"/>
          </w:tcPr>
          <w:p>
            <w:pPr>
              <w:spacing w:before="50" w:after="50"/>
            </w:pPr>
            <w:r>
              <w:rPr>
                <w:rFonts w:ascii="Times New Roman" w:cs="Times New Roman" w:eastAsia="Times New Roman" w:hAnsi="Times New Roman"/>
                <w:b/>
                <w:bCs/>
                <w:color w:val="1B2A4A"/>
                <w:sz w:val="20"/>
                <w:szCs w:val="20"/>
              </w:rPr>
              <w:t xml:space="preserve">Next Report Due:</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15 January 2027 (for CY2026)</w:t>
            </w:r>
          </w:p>
        </w:tc>
      </w:tr>
    </w:tbl>
    <w:p>
      <w:r>
        <w:br w:type="page"/>
      </w:r>
    </w:p>
    <w:p>
      <w:pPr>
        <w:pBdr>
          <w:bottom w:val="single" w:color="2E75B6" w:sz="2" w:space="4"/>
        </w:pBdr>
        <w:spacing w:before="400" w:after="200"/>
      </w:pPr>
      <w:r>
        <w:rPr>
          <w:rFonts w:ascii="Times New Roman" w:cs="Times New Roman" w:eastAsia="Times New Roman" w:hAnsi="Times New Roman"/>
          <w:b/>
          <w:bCs/>
          <w:color w:val="1B2A4A"/>
          <w:sz w:val="26"/>
          <w:szCs w:val="26"/>
        </w:rPr>
        <w:t xml:space="preserve">EXECUTIVE SUMMARY</w:t>
      </w:r>
    </w:p>
    <w:p>
      <w:pPr>
        <w:spacing w:before="0" w:after="200"/>
      </w:pPr>
      <w:r>
        <w:rPr>
          <w:rFonts w:ascii="Times New Roman" w:cs="Times New Roman" w:eastAsia="Times New Roman" w:hAnsi="Times New Roman"/>
          <w:color w:val="333333"/>
          <w:sz w:val="22"/>
          <w:szCs w:val="22"/>
        </w:rPr>
        <w:t xml:space="preserve">This Annual Compliance Report covers the period from the commencement of NIHA's carbon trading operations on 14 June 2025 through 31 December 2025. The report is submitted to the Board pursuant to Resolution 7 of the Board Resolution for Carbon Trading Activities (NIHA-BR-2025-001), which mandates quarterly compliance reporting to the Board.</w:t>
      </w:r>
    </w:p>
    <w:p>
      <w:pPr>
        <w:spacing w:before="0" w:after="100"/>
      </w:pPr>
      <w:r>
        <w:rPr>
          <w:rFonts w:ascii="Times New Roman" w:cs="Times New Roman" w:eastAsia="Times New Roman" w:hAnsi="Times New Roman"/>
          <w:b/>
          <w:bCs/>
          <w:color w:val="1B2A4A"/>
          <w:sz w:val="22"/>
          <w:szCs w:val="22"/>
        </w:rPr>
        <w:t xml:space="preserve">Key Findings:</w:t>
      </w:r>
    </w:p>
    <w:p>
      <w:pPr>
        <w:spacing w:before="0" w:after="80"/>
      </w:pPr>
      <w:r>
        <w:rPr>
          <w:rFonts w:ascii="Times New Roman" w:cs="Times New Roman" w:eastAsia="Times New Roman" w:hAnsi="Times New Roman"/>
          <w:b/>
          <w:bCs/>
          <w:color w:val="1B7A3D"/>
          <w:sz w:val="22"/>
          <w:szCs w:val="22"/>
        </w:rPr>
        <w:t xml:space="preserve">• Overall compliance posture: SATISFACTORY — no material breaches or regulatory actions</w:t>
      </w:r>
    </w:p>
    <w:p>
      <w:pPr>
        <w:spacing w:before="0" w:after="80"/>
      </w:pPr>
      <w:r>
        <w:rPr>
          <w:rFonts w:ascii="Times New Roman" w:cs="Times New Roman" w:eastAsia="Times New Roman" w:hAnsi="Times New Roman"/>
          <w:color w:val="333333"/>
          <w:sz w:val="22"/>
          <w:szCs w:val="22"/>
        </w:rPr>
        <w:t xml:space="preserve">• 18 clients onboarded with full KYC/CDD completed for each</w:t>
      </w:r>
    </w:p>
    <w:p>
      <w:pPr>
        <w:spacing w:before="0" w:after="80"/>
      </w:pPr>
      <w:r>
        <w:rPr>
          <w:rFonts w:ascii="Times New Roman" w:cs="Times New Roman" w:eastAsia="Times New Roman" w:hAnsi="Times New Roman"/>
          <w:color w:val="333333"/>
          <w:sz w:val="22"/>
          <w:szCs w:val="22"/>
        </w:rPr>
        <w:t xml:space="preserve">• ~430 transactions processed with zero settlement failures</w:t>
      </w:r>
    </w:p>
    <w:p>
      <w:pPr>
        <w:spacing w:before="0" w:after="80"/>
      </w:pPr>
      <w:r>
        <w:rPr>
          <w:rFonts w:ascii="Times New Roman" w:cs="Times New Roman" w:eastAsia="Times New Roman" w:hAnsi="Times New Roman"/>
          <w:color w:val="333333"/>
          <w:sz w:val="22"/>
          <w:szCs w:val="22"/>
        </w:rPr>
        <w:t xml:space="preserve">• Zero suspicious transaction reports (STRs) filed — no triggers identified</w:t>
      </w:r>
    </w:p>
    <w:p>
      <w:pPr>
        <w:spacing w:before="0" w:after="80"/>
      </w:pPr>
      <w:r>
        <w:rPr>
          <w:rFonts w:ascii="Times New Roman" w:cs="Times New Roman" w:eastAsia="Times New Roman" w:hAnsi="Times New Roman"/>
          <w:color w:val="333333"/>
          <w:sz w:val="22"/>
          <w:szCs w:val="22"/>
        </w:rPr>
        <w:t xml:space="preserve">• Zero regulatory inquiries or enforcement actions received</w:t>
      </w:r>
    </w:p>
    <w:p>
      <w:pPr>
        <w:spacing w:before="0" w:after="80"/>
      </w:pPr>
      <w:r>
        <w:rPr>
          <w:rFonts w:ascii="Times New Roman" w:cs="Times New Roman" w:eastAsia="Times New Roman" w:hAnsi="Times New Roman"/>
          <w:color w:val="333333"/>
          <w:sz w:val="22"/>
          <w:szCs w:val="22"/>
        </w:rPr>
        <w:t xml:space="preserve">• All registry accounts maintained in good standing</w:t>
      </w:r>
    </w:p>
    <w:p>
      <w:pPr>
        <w:spacing w:before="0" w:after="200"/>
      </w:pPr>
      <w:r>
        <w:rPr>
          <w:rFonts w:ascii="Times New Roman" w:cs="Times New Roman" w:eastAsia="Times New Roman" w:hAnsi="Times New Roman"/>
          <w:color w:val="333333"/>
          <w:sz w:val="22"/>
          <w:szCs w:val="22"/>
        </w:rPr>
        <w:t xml:space="preserve">• 3 areas identified for enhancement in 2026 (see Section 8)</w:t>
      </w:r>
    </w:p>
    <w:p>
      <w:pPr>
        <w:pBdr>
          <w:bottom w:val="single" w:color="2E75B6" w:sz="2" w:space="4"/>
        </w:pBdr>
        <w:spacing w:before="400" w:after="200"/>
      </w:pPr>
      <w:r>
        <w:rPr>
          <w:rFonts w:ascii="Times New Roman" w:cs="Times New Roman" w:eastAsia="Times New Roman" w:hAnsi="Times New Roman"/>
          <w:b/>
          <w:bCs/>
          <w:color w:val="1B2A4A"/>
          <w:sz w:val="26"/>
          <w:szCs w:val="26"/>
        </w:rPr>
        <w:t xml:space="preserve">1. CLIENT ONBOARDING &amp; KYC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Borders>
              <w:top w:val="single" w:color="CCCCCC" w:sz="1"/>
              <w:left w:val="single" w:color="CCCCCC" w:sz="1"/>
              <w:bottom w:val="single" w:color="CCCCCC" w:sz="1"/>
              <w:right w:val="single" w:color="CCCCCC" w:sz="1"/>
            </w:tcBorders>
            <w:shd w:color="1B2A4A" w:val="solid"/>
          </w:tcPr>
          <w:p>
            <w:pPr>
              <w:spacing w:before="60" w:after="60"/>
            </w:pPr>
            <w:r>
              <w:rPr>
                <w:rFonts w:ascii="Times New Roman" w:cs="Times New Roman" w:eastAsia="Times New Roman" w:hAnsi="Times New Roman"/>
                <w:b/>
                <w:bCs/>
                <w:color w:val="FFFFFF"/>
                <w:sz w:val="18"/>
                <w:szCs w:val="18"/>
              </w:rPr>
              <w:t xml:space="preserve">Metric</w:t>
            </w:r>
          </w:p>
        </w:tc>
        <w:tc>
          <w:tcPr>
            <w:tcW w:type="pct" w:w="25%"/>
            <w:tcBorders>
              <w:top w:val="single" w:color="CCCCCC" w:sz="1"/>
              <w:left w:val="single" w:color="CCCCCC" w:sz="1"/>
              <w:bottom w:val="single" w:color="CCCCCC" w:sz="1"/>
              <w:right w:val="single" w:color="CCCCCC" w:sz="1"/>
            </w:tcBorders>
            <w:shd w:color="1B2A4A" w:val="solid"/>
          </w:tcPr>
          <w:p>
            <w:pPr>
              <w:spacing w:before="60" w:after="60"/>
              <w:jc w:val="right"/>
            </w:pPr>
            <w:r>
              <w:rPr>
                <w:rFonts w:ascii="Times New Roman" w:cs="Times New Roman" w:eastAsia="Times New Roman" w:hAnsi="Times New Roman"/>
                <w:b/>
                <w:bCs/>
                <w:color w:val="FFFFFF"/>
                <w:sz w:val="18"/>
                <w:szCs w:val="18"/>
              </w:rPr>
              <w:t xml:space="preserve">Value</w:t>
            </w:r>
          </w:p>
        </w:tc>
        <w:tc>
          <w:tcPr>
            <w:tcW w:type="pct" w:w="25%"/>
            <w:tcBorders>
              <w:top w:val="single" w:color="CCCCCC" w:sz="1"/>
              <w:left w:val="single" w:color="CCCCCC" w:sz="1"/>
              <w:bottom w:val="single" w:color="CCCCCC" w:sz="1"/>
              <w:right w:val="single" w:color="CCCCCC" w:sz="1"/>
            </w:tcBorders>
            <w:shd w:color="1B2A4A" w:val="solid"/>
          </w:tcPr>
          <w:p>
            <w:pPr>
              <w:spacing w:before="60" w:after="60"/>
            </w:pPr>
            <w:r>
              <w:rPr>
                <w:rFonts w:ascii="Times New Roman" w:cs="Times New Roman" w:eastAsia="Times New Roman" w:hAnsi="Times New Roman"/>
                <w:b/>
                <w:bCs/>
                <w:color w:val="FFFFFF"/>
                <w:sz w:val="18"/>
                <w:szCs w:val="18"/>
              </w:rPr>
              <w:t xml:space="preserve">Assessment</w:t>
            </w:r>
          </w:p>
        </w:tc>
      </w:tr>
      <w:tr>
        <w:tc>
          <w:tcPr>
            <w:tcW w:type="pct" w:w="50%"/>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New Client Applications Received</w:t>
            </w:r>
          </w:p>
        </w:tc>
        <w:tc>
          <w:tcPr>
            <w:tcW w:type="pct" w:w="25%"/>
            <w:tcBorders>
              <w:top w:val="single" w:color="CCCCCC" w:sz="1"/>
              <w:left w:val="single" w:color="CCCCCC" w:sz="1"/>
              <w:bottom w:val="single" w:color="CCCCCC" w:sz="1"/>
              <w:right w:val="single" w:color="CCCCCC" w:sz="1"/>
            </w:tcBorders>
          </w:tcPr>
          <w:p>
            <w:pPr>
              <w:spacing w:before="40" w:after="40"/>
              <w:jc w:val="right"/>
            </w:pPr>
            <w:r>
              <w:rPr>
                <w:rFonts w:ascii="Times New Roman" w:cs="Times New Roman" w:eastAsia="Times New Roman" w:hAnsi="Times New Roman"/>
                <w:color w:val="333333"/>
                <w:sz w:val="18"/>
                <w:szCs w:val="18"/>
              </w:rPr>
              <w:t xml:space="preserve">24</w:t>
            </w:r>
          </w:p>
        </w:tc>
        <w:tc>
          <w:tcPr>
            <w:tcW w:type="pct" w:w="25%"/>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w:t>
            </w:r>
          </w:p>
        </w:tc>
      </w:tr>
      <w:tr>
        <w:tc>
          <w:tcPr>
            <w:tcW w:type="pct" w:w="50%"/>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Applications Approved</w:t>
            </w:r>
          </w:p>
        </w:tc>
        <w:tc>
          <w:tcPr>
            <w:tcW w:type="pct" w:w="25%"/>
            <w:tcBorders>
              <w:top w:val="single" w:color="CCCCCC" w:sz="1"/>
              <w:left w:val="single" w:color="CCCCCC" w:sz="1"/>
              <w:bottom w:val="single" w:color="CCCCCC" w:sz="1"/>
              <w:right w:val="single" w:color="CCCCCC" w:sz="1"/>
            </w:tcBorders>
          </w:tcPr>
          <w:p>
            <w:pPr>
              <w:spacing w:before="40" w:after="40"/>
              <w:jc w:val="right"/>
            </w:pPr>
            <w:r>
              <w:rPr>
                <w:rFonts w:ascii="Times New Roman" w:cs="Times New Roman" w:eastAsia="Times New Roman" w:hAnsi="Times New Roman"/>
                <w:color w:val="333333"/>
                <w:sz w:val="18"/>
                <w:szCs w:val="18"/>
              </w:rPr>
              <w:t xml:space="preserve">18</w:t>
            </w:r>
          </w:p>
        </w:tc>
        <w:tc>
          <w:tcPr>
            <w:tcW w:type="pct" w:w="25%"/>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75% approval rate</w:t>
            </w:r>
          </w:p>
        </w:tc>
      </w:tr>
      <w:tr>
        <w:tc>
          <w:tcPr>
            <w:tcW w:type="pct" w:w="50%"/>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Applications Declined</w:t>
            </w:r>
          </w:p>
        </w:tc>
        <w:tc>
          <w:tcPr>
            <w:tcW w:type="pct" w:w="25%"/>
            <w:tcBorders>
              <w:top w:val="single" w:color="CCCCCC" w:sz="1"/>
              <w:left w:val="single" w:color="CCCCCC" w:sz="1"/>
              <w:bottom w:val="single" w:color="CCCCCC" w:sz="1"/>
              <w:right w:val="single" w:color="CCCCCC" w:sz="1"/>
            </w:tcBorders>
          </w:tcPr>
          <w:p>
            <w:pPr>
              <w:spacing w:before="40" w:after="40"/>
              <w:jc w:val="right"/>
            </w:pPr>
            <w:r>
              <w:rPr>
                <w:rFonts w:ascii="Times New Roman" w:cs="Times New Roman" w:eastAsia="Times New Roman" w:hAnsi="Times New Roman"/>
                <w:color w:val="333333"/>
                <w:sz w:val="18"/>
                <w:szCs w:val="18"/>
              </w:rPr>
              <w:t xml:space="preserve">4</w:t>
            </w:r>
          </w:p>
        </w:tc>
        <w:tc>
          <w:tcPr>
            <w:tcW w:type="pct" w:w="25%"/>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See below</w:t>
            </w:r>
          </w:p>
        </w:tc>
      </w:tr>
      <w:tr>
        <w:tc>
          <w:tcPr>
            <w:tcW w:type="pct" w:w="50%"/>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Applications Pending (as at 31 Dec)</w:t>
            </w:r>
          </w:p>
        </w:tc>
        <w:tc>
          <w:tcPr>
            <w:tcW w:type="pct" w:w="25%"/>
            <w:tcBorders>
              <w:top w:val="single" w:color="CCCCCC" w:sz="1"/>
              <w:left w:val="single" w:color="CCCCCC" w:sz="1"/>
              <w:bottom w:val="single" w:color="CCCCCC" w:sz="1"/>
              <w:right w:val="single" w:color="CCCCCC" w:sz="1"/>
            </w:tcBorders>
          </w:tcPr>
          <w:p>
            <w:pPr>
              <w:spacing w:before="40" w:after="40"/>
              <w:jc w:val="right"/>
            </w:pPr>
            <w:r>
              <w:rPr>
                <w:rFonts w:ascii="Times New Roman" w:cs="Times New Roman" w:eastAsia="Times New Roman" w:hAnsi="Times New Roman"/>
                <w:color w:val="333333"/>
                <w:sz w:val="18"/>
                <w:szCs w:val="18"/>
              </w:rPr>
              <w:t xml:space="preserve">2</w:t>
            </w:r>
          </w:p>
        </w:tc>
        <w:tc>
          <w:tcPr>
            <w:tcW w:type="pct" w:w="25%"/>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Awaiting documents</w:t>
            </w:r>
          </w:p>
        </w:tc>
      </w:tr>
      <w:tr>
        <w:tc>
          <w:tcPr>
            <w:tcW w:type="pct" w:w="50%"/>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Enhanced Due Diligence Required</w:t>
            </w:r>
          </w:p>
        </w:tc>
        <w:tc>
          <w:tcPr>
            <w:tcW w:type="pct" w:w="25%"/>
            <w:tcBorders>
              <w:top w:val="single" w:color="CCCCCC" w:sz="1"/>
              <w:left w:val="single" w:color="CCCCCC" w:sz="1"/>
              <w:bottom w:val="single" w:color="CCCCCC" w:sz="1"/>
              <w:right w:val="single" w:color="CCCCCC" w:sz="1"/>
            </w:tcBorders>
          </w:tcPr>
          <w:p>
            <w:pPr>
              <w:spacing w:before="40" w:after="40"/>
              <w:jc w:val="right"/>
            </w:pPr>
            <w:r>
              <w:rPr>
                <w:rFonts w:ascii="Times New Roman" w:cs="Times New Roman" w:eastAsia="Times New Roman" w:hAnsi="Times New Roman"/>
                <w:color w:val="333333"/>
                <w:sz w:val="18"/>
                <w:szCs w:val="18"/>
              </w:rPr>
              <w:t xml:space="preserve">6</w:t>
            </w:r>
          </w:p>
        </w:tc>
        <w:tc>
          <w:tcPr>
            <w:tcW w:type="pct" w:w="25%"/>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33% of approved</w:t>
            </w:r>
          </w:p>
        </w:tc>
      </w:tr>
      <w:tr>
        <w:tc>
          <w:tcPr>
            <w:tcW w:type="pct" w:w="50%"/>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Average Onboarding Time</w:t>
            </w:r>
          </w:p>
        </w:tc>
        <w:tc>
          <w:tcPr>
            <w:tcW w:type="pct" w:w="25%"/>
            <w:tcBorders>
              <w:top w:val="single" w:color="CCCCCC" w:sz="1"/>
              <w:left w:val="single" w:color="CCCCCC" w:sz="1"/>
              <w:bottom w:val="single" w:color="CCCCCC" w:sz="1"/>
              <w:right w:val="single" w:color="CCCCCC" w:sz="1"/>
            </w:tcBorders>
          </w:tcPr>
          <w:p>
            <w:pPr>
              <w:spacing w:before="40" w:after="40"/>
              <w:jc w:val="right"/>
            </w:pPr>
            <w:r>
              <w:rPr>
                <w:rFonts w:ascii="Times New Roman" w:cs="Times New Roman" w:eastAsia="Times New Roman" w:hAnsi="Times New Roman"/>
                <w:color w:val="333333"/>
                <w:sz w:val="18"/>
                <w:szCs w:val="18"/>
              </w:rPr>
              <w:t xml:space="preserve">8.3 business days</w:t>
            </w:r>
          </w:p>
        </w:tc>
        <w:tc>
          <w:tcPr>
            <w:tcW w:type="pct" w:w="25%"/>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1B7A3D"/>
                <w:sz w:val="18"/>
                <w:szCs w:val="18"/>
              </w:rPr>
              <w:t xml:space="preserve">Within 10-day target</w:t>
            </w:r>
          </w:p>
        </w:tc>
      </w:tr>
      <w:tr>
        <w:tc>
          <w:tcPr>
            <w:tcW w:type="pct" w:w="50%"/>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Periodic Reviews Completed</w:t>
            </w:r>
          </w:p>
        </w:tc>
        <w:tc>
          <w:tcPr>
            <w:tcW w:type="pct" w:w="25%"/>
            <w:tcBorders>
              <w:top w:val="single" w:color="CCCCCC" w:sz="1"/>
              <w:left w:val="single" w:color="CCCCCC" w:sz="1"/>
              <w:bottom w:val="single" w:color="CCCCCC" w:sz="1"/>
              <w:right w:val="single" w:color="CCCCCC" w:sz="1"/>
            </w:tcBorders>
          </w:tcPr>
          <w:p>
            <w:pPr>
              <w:spacing w:before="40" w:after="40"/>
              <w:jc w:val="right"/>
            </w:pPr>
            <w:r>
              <w:rPr>
                <w:rFonts w:ascii="Times New Roman" w:cs="Times New Roman" w:eastAsia="Times New Roman" w:hAnsi="Times New Roman"/>
                <w:color w:val="333333"/>
                <w:sz w:val="18"/>
                <w:szCs w:val="18"/>
              </w:rPr>
              <w:t xml:space="preserve">4</w:t>
            </w:r>
          </w:p>
        </w:tc>
        <w:tc>
          <w:tcPr>
            <w:tcW w:type="pct" w:w="25%"/>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1B7A3D"/>
                <w:sz w:val="18"/>
                <w:szCs w:val="18"/>
              </w:rPr>
              <w:t xml:space="preserve">On schedule</w:t>
            </w:r>
          </w:p>
        </w:tc>
      </w:tr>
    </w:tbl>
    <w:p>
      <w:pPr>
        <w:spacing w:before="200" w:after="100"/>
      </w:pPr>
      <w:r>
        <w:rPr>
          <w:rFonts w:ascii="Times New Roman" w:cs="Times New Roman" w:eastAsia="Times New Roman" w:hAnsi="Times New Roman"/>
          <w:b/>
          <w:bCs/>
          <w:color w:val="333333"/>
          <w:sz w:val="22"/>
          <w:szCs w:val="22"/>
        </w:rPr>
        <w:t xml:space="preserve">Decline Reasons (4 applications):</w:t>
      </w:r>
    </w:p>
    <w:p>
      <w:pPr>
        <w:spacing w:before="0" w:after="60"/>
      </w:pPr>
      <w:r>
        <w:rPr>
          <w:rFonts w:ascii="Times New Roman" w:cs="Times New Roman" w:eastAsia="Times New Roman" w:hAnsi="Times New Roman"/>
          <w:color w:val="333333"/>
          <w:sz w:val="22"/>
          <w:szCs w:val="22"/>
        </w:rPr>
        <w:t xml:space="preserve">• 1 applicant: Adverse media findings relating to environmental fraud (PRC entity)</w:t>
      </w:r>
    </w:p>
    <w:p>
      <w:pPr>
        <w:spacing w:before="0" w:after="60"/>
      </w:pPr>
      <w:r>
        <w:rPr>
          <w:rFonts w:ascii="Times New Roman" w:cs="Times New Roman" w:eastAsia="Times New Roman" w:hAnsi="Times New Roman"/>
          <w:color w:val="333333"/>
          <w:sz w:val="22"/>
          <w:szCs w:val="22"/>
        </w:rPr>
        <w:t xml:space="preserve">• 1 applicant: Sanctioned jurisdiction nexus (Russian-linked beneficial owner)</w:t>
      </w:r>
    </w:p>
    <w:p>
      <w:pPr>
        <w:spacing w:before="0" w:after="60"/>
      </w:pPr>
      <w:r>
        <w:rPr>
          <w:rFonts w:ascii="Times New Roman" w:cs="Times New Roman" w:eastAsia="Times New Roman" w:hAnsi="Times New Roman"/>
          <w:color w:val="333333"/>
          <w:sz w:val="22"/>
          <w:szCs w:val="22"/>
        </w:rPr>
        <w:t xml:space="preserve">• 1 applicant: Insufficient source of funds documentation (could not verify)</w:t>
      </w:r>
    </w:p>
    <w:p>
      <w:pPr>
        <w:spacing w:before="0" w:after="200"/>
      </w:pPr>
      <w:r>
        <w:rPr>
          <w:rFonts w:ascii="Times New Roman" w:cs="Times New Roman" w:eastAsia="Times New Roman" w:hAnsi="Times New Roman"/>
          <w:color w:val="333333"/>
          <w:sz w:val="22"/>
          <w:szCs w:val="22"/>
        </w:rPr>
        <w:t xml:space="preserve">• 1 applicant: PEP with unacceptable risk profile (government official, high-corruption jurisdiction)</w:t>
      </w:r>
    </w:p>
    <w:p>
      <w:pPr>
        <w:pBdr>
          <w:bottom w:val="single" w:color="2E75B6" w:sz="2" w:space="4"/>
        </w:pBdr>
        <w:spacing w:before="400" w:after="200"/>
      </w:pPr>
      <w:r>
        <w:rPr>
          <w:rFonts w:ascii="Times New Roman" w:cs="Times New Roman" w:eastAsia="Times New Roman" w:hAnsi="Times New Roman"/>
          <w:b/>
          <w:bCs/>
          <w:color w:val="1B2A4A"/>
          <w:sz w:val="26"/>
          <w:szCs w:val="26"/>
        </w:rPr>
        <w:t xml:space="preserve">2. TRANSACTION MONITORING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Borders>
              <w:top w:val="single" w:color="CCCCCC" w:sz="1"/>
              <w:left w:val="single" w:color="CCCCCC" w:sz="1"/>
              <w:bottom w:val="single" w:color="CCCCCC" w:sz="1"/>
              <w:right w:val="single" w:color="CCCCCC" w:sz="1"/>
            </w:tcBorders>
            <w:shd w:color="1B2A4A" w:val="solid"/>
          </w:tcPr>
          <w:p>
            <w:pPr>
              <w:spacing w:before="60" w:after="60"/>
            </w:pPr>
            <w:r>
              <w:rPr>
                <w:rFonts w:ascii="Times New Roman" w:cs="Times New Roman" w:eastAsia="Times New Roman" w:hAnsi="Times New Roman"/>
                <w:b/>
                <w:bCs/>
                <w:color w:val="FFFFFF"/>
                <w:sz w:val="18"/>
                <w:szCs w:val="18"/>
              </w:rPr>
              <w:t xml:space="preserve">Metric</w:t>
            </w:r>
          </w:p>
        </w:tc>
        <w:tc>
          <w:tcPr>
            <w:tcW w:type="pct" w:w="25%"/>
            <w:tcBorders>
              <w:top w:val="single" w:color="CCCCCC" w:sz="1"/>
              <w:left w:val="single" w:color="CCCCCC" w:sz="1"/>
              <w:bottom w:val="single" w:color="CCCCCC" w:sz="1"/>
              <w:right w:val="single" w:color="CCCCCC" w:sz="1"/>
            </w:tcBorders>
            <w:shd w:color="1B2A4A" w:val="solid"/>
          </w:tcPr>
          <w:p>
            <w:pPr>
              <w:spacing w:before="60" w:after="60"/>
              <w:jc w:val="right"/>
            </w:pPr>
            <w:r>
              <w:rPr>
                <w:rFonts w:ascii="Times New Roman" w:cs="Times New Roman" w:eastAsia="Times New Roman" w:hAnsi="Times New Roman"/>
                <w:b/>
                <w:bCs/>
                <w:color w:val="FFFFFF"/>
                <w:sz w:val="18"/>
                <w:szCs w:val="18"/>
              </w:rPr>
              <w:t xml:space="preserve">Value</w:t>
            </w:r>
          </w:p>
        </w:tc>
        <w:tc>
          <w:tcPr>
            <w:tcW w:type="pct" w:w="25%"/>
            <w:tcBorders>
              <w:top w:val="single" w:color="CCCCCC" w:sz="1"/>
              <w:left w:val="single" w:color="CCCCCC" w:sz="1"/>
              <w:bottom w:val="single" w:color="CCCCCC" w:sz="1"/>
              <w:right w:val="single" w:color="CCCCCC" w:sz="1"/>
            </w:tcBorders>
            <w:shd w:color="1B2A4A" w:val="solid"/>
          </w:tcPr>
          <w:p>
            <w:pPr>
              <w:spacing w:before="60" w:after="60"/>
            </w:pPr>
            <w:r>
              <w:rPr>
                <w:rFonts w:ascii="Times New Roman" w:cs="Times New Roman" w:eastAsia="Times New Roman" w:hAnsi="Times New Roman"/>
                <w:b/>
                <w:bCs/>
                <w:color w:val="FFFFFF"/>
                <w:sz w:val="18"/>
                <w:szCs w:val="18"/>
              </w:rPr>
              <w:t xml:space="preserve">Assessment</w:t>
            </w:r>
          </w:p>
        </w:tc>
      </w:tr>
      <w:tr>
        <w:tc>
          <w:tcPr>
            <w:tcW w:type="pct" w:w="50%"/>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Total Transactions Monitored</w:t>
            </w:r>
          </w:p>
        </w:tc>
        <w:tc>
          <w:tcPr>
            <w:tcW w:type="pct" w:w="25%"/>
            <w:tcBorders>
              <w:top w:val="single" w:color="CCCCCC" w:sz="1"/>
              <w:left w:val="single" w:color="CCCCCC" w:sz="1"/>
              <w:bottom w:val="single" w:color="CCCCCC" w:sz="1"/>
              <w:right w:val="single" w:color="CCCCCC" w:sz="1"/>
            </w:tcBorders>
          </w:tcPr>
          <w:p>
            <w:pPr>
              <w:spacing w:before="40" w:after="40"/>
              <w:jc w:val="right"/>
            </w:pPr>
            <w:r>
              <w:rPr>
                <w:rFonts w:ascii="Times New Roman" w:cs="Times New Roman" w:eastAsia="Times New Roman" w:hAnsi="Times New Roman"/>
                <w:color w:val="333333"/>
                <w:sz w:val="18"/>
                <w:szCs w:val="18"/>
              </w:rPr>
              <w:t xml:space="preserve">~430</w:t>
            </w:r>
          </w:p>
        </w:tc>
        <w:tc>
          <w:tcPr>
            <w:tcW w:type="pct" w:w="25%"/>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w:t>
            </w:r>
          </w:p>
        </w:tc>
      </w:tr>
      <w:tr>
        <w:tc>
          <w:tcPr>
            <w:tcW w:type="pct" w:w="50%"/>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Total Volume (whole units)</w:t>
            </w:r>
          </w:p>
        </w:tc>
        <w:tc>
          <w:tcPr>
            <w:tcW w:type="pct" w:w="25%"/>
            <w:tcBorders>
              <w:top w:val="single" w:color="CCCCCC" w:sz="1"/>
              <w:left w:val="single" w:color="CCCCCC" w:sz="1"/>
              <w:bottom w:val="single" w:color="CCCCCC" w:sz="1"/>
              <w:right w:val="single" w:color="CCCCCC" w:sz="1"/>
            </w:tcBorders>
          </w:tcPr>
          <w:p>
            <w:pPr>
              <w:spacing w:before="40" w:after="40"/>
              <w:jc w:val="right"/>
            </w:pPr>
            <w:r>
              <w:rPr>
                <w:rFonts w:ascii="Times New Roman" w:cs="Times New Roman" w:eastAsia="Times New Roman" w:hAnsi="Times New Roman"/>
                <w:color w:val="333333"/>
                <w:sz w:val="18"/>
                <w:szCs w:val="18"/>
              </w:rPr>
              <w:t xml:space="preserve">~5,800,000</w:t>
            </w:r>
          </w:p>
        </w:tc>
        <w:tc>
          <w:tcPr>
            <w:tcW w:type="pct" w:w="25%"/>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w:t>
            </w:r>
          </w:p>
        </w:tc>
      </w:tr>
      <w:tr>
        <w:tc>
          <w:tcPr>
            <w:tcW w:type="pct" w:w="50%"/>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Total Value (EUR equivalent)</w:t>
            </w:r>
          </w:p>
        </w:tc>
        <w:tc>
          <w:tcPr>
            <w:tcW w:type="pct" w:w="25%"/>
            <w:tcBorders>
              <w:top w:val="single" w:color="CCCCCC" w:sz="1"/>
              <w:left w:val="single" w:color="CCCCCC" w:sz="1"/>
              <w:bottom w:val="single" w:color="CCCCCC" w:sz="1"/>
              <w:right w:val="single" w:color="CCCCCC" w:sz="1"/>
            </w:tcBorders>
          </w:tcPr>
          <w:p>
            <w:pPr>
              <w:spacing w:before="40" w:after="40"/>
              <w:jc w:val="right"/>
            </w:pPr>
            <w:r>
              <w:rPr>
                <w:rFonts w:ascii="Times New Roman" w:cs="Times New Roman" w:eastAsia="Times New Roman" w:hAnsi="Times New Roman"/>
                <w:color w:val="333333"/>
                <w:sz w:val="18"/>
                <w:szCs w:val="18"/>
              </w:rPr>
              <w:t xml:space="preserve">~€35.5 million</w:t>
            </w:r>
          </w:p>
        </w:tc>
        <w:tc>
          <w:tcPr>
            <w:tcW w:type="pct" w:w="25%"/>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w:t>
            </w:r>
          </w:p>
        </w:tc>
      </w:tr>
      <w:tr>
        <w:tc>
          <w:tcPr>
            <w:tcW w:type="pct" w:w="50%"/>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Alerts Generated (automated)</w:t>
            </w:r>
          </w:p>
        </w:tc>
        <w:tc>
          <w:tcPr>
            <w:tcW w:type="pct" w:w="25%"/>
            <w:tcBorders>
              <w:top w:val="single" w:color="CCCCCC" w:sz="1"/>
              <w:left w:val="single" w:color="CCCCCC" w:sz="1"/>
              <w:bottom w:val="single" w:color="CCCCCC" w:sz="1"/>
              <w:right w:val="single" w:color="CCCCCC" w:sz="1"/>
            </w:tcBorders>
          </w:tcPr>
          <w:p>
            <w:pPr>
              <w:spacing w:before="40" w:after="40"/>
              <w:jc w:val="right"/>
            </w:pPr>
            <w:r>
              <w:rPr>
                <w:rFonts w:ascii="Times New Roman" w:cs="Times New Roman" w:eastAsia="Times New Roman" w:hAnsi="Times New Roman"/>
                <w:color w:val="333333"/>
                <w:sz w:val="18"/>
                <w:szCs w:val="18"/>
              </w:rPr>
              <w:t xml:space="preserve">12</w:t>
            </w:r>
          </w:p>
        </w:tc>
        <w:tc>
          <w:tcPr>
            <w:tcW w:type="pct" w:w="25%"/>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5.1% alert rate</w:t>
            </w:r>
          </w:p>
        </w:tc>
      </w:tr>
      <w:tr>
        <w:tc>
          <w:tcPr>
            <w:tcW w:type="pct" w:w="50%"/>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Alerts Escalated to CO</w:t>
            </w:r>
          </w:p>
        </w:tc>
        <w:tc>
          <w:tcPr>
            <w:tcW w:type="pct" w:w="25%"/>
            <w:tcBorders>
              <w:top w:val="single" w:color="CCCCCC" w:sz="1"/>
              <w:left w:val="single" w:color="CCCCCC" w:sz="1"/>
              <w:bottom w:val="single" w:color="CCCCCC" w:sz="1"/>
              <w:right w:val="single" w:color="CCCCCC" w:sz="1"/>
            </w:tcBorders>
          </w:tcPr>
          <w:p>
            <w:pPr>
              <w:spacing w:before="40" w:after="40"/>
              <w:jc w:val="right"/>
            </w:pPr>
            <w:r>
              <w:rPr>
                <w:rFonts w:ascii="Times New Roman" w:cs="Times New Roman" w:eastAsia="Times New Roman" w:hAnsi="Times New Roman"/>
                <w:color w:val="333333"/>
                <w:sz w:val="18"/>
                <w:szCs w:val="18"/>
              </w:rPr>
              <w:t xml:space="preserve">5</w:t>
            </w:r>
          </w:p>
        </w:tc>
        <w:tc>
          <w:tcPr>
            <w:tcW w:type="pct" w:w="25%"/>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41.7% of alerts</w:t>
            </w:r>
          </w:p>
        </w:tc>
      </w:tr>
      <w:tr>
        <w:tc>
          <w:tcPr>
            <w:tcW w:type="pct" w:w="50%"/>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Alerts Resulting in STR</w:t>
            </w:r>
          </w:p>
        </w:tc>
        <w:tc>
          <w:tcPr>
            <w:tcW w:type="pct" w:w="25%"/>
            <w:tcBorders>
              <w:top w:val="single" w:color="CCCCCC" w:sz="1"/>
              <w:left w:val="single" w:color="CCCCCC" w:sz="1"/>
              <w:bottom w:val="single" w:color="CCCCCC" w:sz="1"/>
              <w:right w:val="single" w:color="CCCCCC" w:sz="1"/>
            </w:tcBorders>
          </w:tcPr>
          <w:p>
            <w:pPr>
              <w:spacing w:before="40" w:after="40"/>
              <w:jc w:val="right"/>
            </w:pPr>
            <w:r>
              <w:rPr>
                <w:rFonts w:ascii="Times New Roman" w:cs="Times New Roman" w:eastAsia="Times New Roman" w:hAnsi="Times New Roman"/>
                <w:b/>
                <w:bCs/>
                <w:color w:val="1B7A3D"/>
                <w:sz w:val="18"/>
                <w:szCs w:val="18"/>
              </w:rPr>
              <w:t xml:space="preserve">0</w:t>
            </w:r>
          </w:p>
        </w:tc>
        <w:tc>
          <w:tcPr>
            <w:tcW w:type="pct" w:w="25%"/>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1B7A3D"/>
                <w:sz w:val="18"/>
                <w:szCs w:val="18"/>
              </w:rPr>
              <w:t xml:space="preserve">No suspicious activity</w:t>
            </w:r>
          </w:p>
        </w:tc>
      </w:tr>
      <w:tr>
        <w:tc>
          <w:tcPr>
            <w:tcW w:type="pct" w:w="50%"/>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False Positive Rate</w:t>
            </w:r>
          </w:p>
        </w:tc>
        <w:tc>
          <w:tcPr>
            <w:tcW w:type="pct" w:w="25%"/>
            <w:tcBorders>
              <w:top w:val="single" w:color="CCCCCC" w:sz="1"/>
              <w:left w:val="single" w:color="CCCCCC" w:sz="1"/>
              <w:bottom w:val="single" w:color="CCCCCC" w:sz="1"/>
              <w:right w:val="single" w:color="CCCCCC" w:sz="1"/>
            </w:tcBorders>
          </w:tcPr>
          <w:p>
            <w:pPr>
              <w:spacing w:before="40" w:after="40"/>
              <w:jc w:val="right"/>
            </w:pPr>
            <w:r>
              <w:rPr>
                <w:rFonts w:ascii="Times New Roman" w:cs="Times New Roman" w:eastAsia="Times New Roman" w:hAnsi="Times New Roman"/>
                <w:color w:val="333333"/>
                <w:sz w:val="18"/>
                <w:szCs w:val="18"/>
              </w:rPr>
              <w:t xml:space="preserve">100%</w:t>
            </w:r>
          </w:p>
        </w:tc>
        <w:tc>
          <w:tcPr>
            <w:tcW w:type="pct" w:w="25%"/>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D4A017"/>
                <w:sz w:val="18"/>
                <w:szCs w:val="18"/>
              </w:rPr>
              <w:t xml:space="preserve">Calibration review Q1 2026</w:t>
            </w:r>
          </w:p>
        </w:tc>
      </w:tr>
    </w:tbl>
    <w:p>
      <w:pPr>
        <w:spacing w:before="0" w:after="200"/>
      </w:pPr>
      <w:r>
        <w:rPr>
          <w:rFonts w:ascii="Times New Roman" w:cs="Times New Roman" w:eastAsia="Times New Roman" w:hAnsi="Times New Roman"/>
          <w:color w:val="333333"/>
          <w:sz w:val="22"/>
          <w:szCs w:val="22"/>
        </w:rPr>
        <w:t xml:space="preserve">Alert Analysis: The 12 automated alerts were triggered by volume thresholds (7), unusual trading patterns (3), and new counterparty first-trade alerts (2). Upon investigation, all alerts were resolved as legitimate business activity. The Compliance Officer recommends recalibrating volume thresholds in Q1 2026 to reduce false positives while maintaining detection sensitivity.</w:t>
      </w:r>
    </w:p>
    <w:p>
      <w:r>
        <w:br w:type="page"/>
      </w:r>
    </w:p>
    <w:p>
      <w:pPr>
        <w:pBdr>
          <w:bottom w:val="single" w:color="2E75B6" w:sz="2" w:space="4"/>
        </w:pBdr>
        <w:spacing w:before="400" w:after="200"/>
      </w:pPr>
      <w:r>
        <w:rPr>
          <w:rFonts w:ascii="Times New Roman" w:cs="Times New Roman" w:eastAsia="Times New Roman" w:hAnsi="Times New Roman"/>
          <w:b/>
          <w:bCs/>
          <w:color w:val="1B2A4A"/>
          <w:sz w:val="26"/>
          <w:szCs w:val="26"/>
        </w:rPr>
        <w:t xml:space="preserve">3. AML/CFT COMPLIANCE</w:t>
      </w:r>
    </w:p>
    <w:p>
      <w:pPr>
        <w:spacing w:before="0" w:after="200"/>
      </w:pPr>
      <w:r>
        <w:rPr>
          <w:rFonts w:ascii="Times New Roman" w:cs="Times New Roman" w:eastAsia="Times New Roman" w:hAnsi="Times New Roman"/>
          <w:color w:val="333333"/>
          <w:sz w:val="22"/>
          <w:szCs w:val="22"/>
        </w:rPr>
        <w:t xml:space="preserve">NIHA's AML/CFT framework is designed to comply with the applicable anti-money laundering and counter-terrorist financing legislation in Hong Kong and FATF recommendations, applied voluntarily to carbon trading activities: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40%"/>
            <w:tcBorders>
              <w:top w:val="single" w:color="CCCCCC" w:sz="1"/>
              <w:left w:val="single" w:color="CCCCCC" w:sz="1"/>
              <w:bottom w:val="single" w:color="CCCCCC" w:sz="1"/>
              <w:right w:val="single" w:color="CCCCCC" w:sz="1"/>
            </w:tcBorders>
            <w:shd w:color="1B2A4A" w:val="solid"/>
          </w:tcPr>
          <w:p>
            <w:pPr>
              <w:spacing w:before="60" w:after="60"/>
            </w:pPr>
            <w:r>
              <w:rPr>
                <w:rFonts w:ascii="Times New Roman" w:cs="Times New Roman" w:eastAsia="Times New Roman" w:hAnsi="Times New Roman"/>
                <w:b/>
                <w:bCs/>
                <w:color w:val="FFFFFF"/>
                <w:sz w:val="18"/>
                <w:szCs w:val="18"/>
              </w:rPr>
              <w:t xml:space="preserve">Control</w:t>
            </w:r>
          </w:p>
        </w:tc>
        <w:tc>
          <w:tcPr>
            <w:tcW w:type="pct" w:w="20%"/>
            <w:tcBorders>
              <w:top w:val="single" w:color="CCCCCC" w:sz="1"/>
              <w:left w:val="single" w:color="CCCCCC" w:sz="1"/>
              <w:bottom w:val="single" w:color="CCCCCC" w:sz="1"/>
              <w:right w:val="single" w:color="CCCCCC" w:sz="1"/>
            </w:tcBorders>
            <w:shd w:color="1B2A4A" w:val="solid"/>
          </w:tcPr>
          <w:p>
            <w:pPr>
              <w:spacing w:before="60" w:after="60"/>
            </w:pPr>
            <w:r>
              <w:rPr>
                <w:rFonts w:ascii="Times New Roman" w:cs="Times New Roman" w:eastAsia="Times New Roman" w:hAnsi="Times New Roman"/>
                <w:b/>
                <w:bCs/>
                <w:color w:val="FFFFFF"/>
                <w:sz w:val="18"/>
                <w:szCs w:val="18"/>
              </w:rPr>
              <w:t xml:space="preserve">Status</w:t>
            </w:r>
          </w:p>
        </w:tc>
        <w:tc>
          <w:tcPr>
            <w:tcW w:type="pct" w:w="20%"/>
            <w:tcBorders>
              <w:top w:val="single" w:color="CCCCCC" w:sz="1"/>
              <w:left w:val="single" w:color="CCCCCC" w:sz="1"/>
              <w:bottom w:val="single" w:color="CCCCCC" w:sz="1"/>
              <w:right w:val="single" w:color="CCCCCC" w:sz="1"/>
            </w:tcBorders>
            <w:shd w:color="1B2A4A" w:val="solid"/>
          </w:tcPr>
          <w:p>
            <w:pPr>
              <w:spacing w:before="60" w:after="60"/>
            </w:pPr>
            <w:r>
              <w:rPr>
                <w:rFonts w:ascii="Times New Roman" w:cs="Times New Roman" w:eastAsia="Times New Roman" w:hAnsi="Times New Roman"/>
                <w:b/>
                <w:bCs/>
                <w:color w:val="FFFFFF"/>
                <w:sz w:val="18"/>
                <w:szCs w:val="18"/>
              </w:rPr>
              <w:t xml:space="preserve">Last Tested</w:t>
            </w:r>
          </w:p>
        </w:tc>
        <w:tc>
          <w:tcPr>
            <w:tcW w:type="pct" w:w="20%"/>
            <w:tcBorders>
              <w:top w:val="single" w:color="CCCCCC" w:sz="1"/>
              <w:left w:val="single" w:color="CCCCCC" w:sz="1"/>
              <w:bottom w:val="single" w:color="CCCCCC" w:sz="1"/>
              <w:right w:val="single" w:color="CCCCCC" w:sz="1"/>
            </w:tcBorders>
            <w:shd w:color="1B2A4A" w:val="solid"/>
          </w:tcPr>
          <w:p>
            <w:pPr>
              <w:spacing w:before="60" w:after="60"/>
            </w:pPr>
            <w:r>
              <w:rPr>
                <w:rFonts w:ascii="Times New Roman" w:cs="Times New Roman" w:eastAsia="Times New Roman" w:hAnsi="Times New Roman"/>
                <w:b/>
                <w:bCs/>
                <w:color w:val="FFFFFF"/>
                <w:sz w:val="18"/>
                <w:szCs w:val="18"/>
              </w:rPr>
              <w:t xml:space="preserve">Next Review</w:t>
            </w:r>
          </w:p>
        </w:tc>
      </w:tr>
      <w:tr>
        <w:tc>
          <w:tcPr>
            <w:tcW w:type="pct" w:w="40%"/>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Customer Due Diligence (CDD)</w:t>
            </w:r>
          </w:p>
        </w:tc>
        <w:tc>
          <w:tcPr>
            <w:tcW w:type="pct" w:w="20%"/>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1B7A3D"/>
                <w:sz w:val="18"/>
                <w:szCs w:val="18"/>
              </w:rPr>
              <w:t xml:space="preserve">Effective</w:t>
            </w:r>
          </w:p>
        </w:tc>
        <w:tc>
          <w:tcPr>
            <w:tcW w:type="pct" w:w="20%"/>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Dec 2025</w:t>
            </w:r>
          </w:p>
        </w:tc>
        <w:tc>
          <w:tcPr>
            <w:tcW w:type="pct" w:w="20%"/>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Mar 2026</w:t>
            </w:r>
          </w:p>
        </w:tc>
      </w:tr>
      <w:tr>
        <w:tc>
          <w:tcPr>
            <w:tcW w:type="pct" w:w="40%"/>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Enhanced Due Diligence (EDD)</w:t>
            </w:r>
          </w:p>
        </w:tc>
        <w:tc>
          <w:tcPr>
            <w:tcW w:type="pct" w:w="20%"/>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1B7A3D"/>
                <w:sz w:val="18"/>
                <w:szCs w:val="18"/>
              </w:rPr>
              <w:t xml:space="preserve">Effective</w:t>
            </w:r>
          </w:p>
        </w:tc>
        <w:tc>
          <w:tcPr>
            <w:tcW w:type="pct" w:w="20%"/>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Dec 2025</w:t>
            </w:r>
          </w:p>
        </w:tc>
        <w:tc>
          <w:tcPr>
            <w:tcW w:type="pct" w:w="20%"/>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Mar 2026</w:t>
            </w:r>
          </w:p>
        </w:tc>
      </w:tr>
      <w:tr>
        <w:tc>
          <w:tcPr>
            <w:tcW w:type="pct" w:w="40%"/>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Sanctions Screening (World-Check)</w:t>
            </w:r>
          </w:p>
        </w:tc>
        <w:tc>
          <w:tcPr>
            <w:tcW w:type="pct" w:w="20%"/>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1B7A3D"/>
                <w:sz w:val="18"/>
                <w:szCs w:val="18"/>
              </w:rPr>
              <w:t xml:space="preserve">Effective</w:t>
            </w:r>
          </w:p>
        </w:tc>
        <w:tc>
          <w:tcPr>
            <w:tcW w:type="pct" w:w="20%"/>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Daily automated</w:t>
            </w:r>
          </w:p>
        </w:tc>
        <w:tc>
          <w:tcPr>
            <w:tcW w:type="pct" w:w="20%"/>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Ongoing</w:t>
            </w:r>
          </w:p>
        </w:tc>
      </w:tr>
      <w:tr>
        <w:tc>
          <w:tcPr>
            <w:tcW w:type="pct" w:w="40%"/>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PEP Screening</w:t>
            </w:r>
          </w:p>
        </w:tc>
        <w:tc>
          <w:tcPr>
            <w:tcW w:type="pct" w:w="20%"/>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1B7A3D"/>
                <w:sz w:val="18"/>
                <w:szCs w:val="18"/>
              </w:rPr>
              <w:t xml:space="preserve">Effective</w:t>
            </w:r>
          </w:p>
        </w:tc>
        <w:tc>
          <w:tcPr>
            <w:tcW w:type="pct" w:w="20%"/>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At onboarding + quarterly</w:t>
            </w:r>
          </w:p>
        </w:tc>
        <w:tc>
          <w:tcPr>
            <w:tcW w:type="pct" w:w="20%"/>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Ongoing</w:t>
            </w:r>
          </w:p>
        </w:tc>
      </w:tr>
      <w:tr>
        <w:tc>
          <w:tcPr>
            <w:tcW w:type="pct" w:w="40%"/>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Transaction Monitoring</w:t>
            </w:r>
          </w:p>
        </w:tc>
        <w:tc>
          <w:tcPr>
            <w:tcW w:type="pct" w:w="20%"/>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1B7A3D"/>
                <w:sz w:val="18"/>
                <w:szCs w:val="18"/>
              </w:rPr>
              <w:t xml:space="preserve">Effective</w:t>
            </w:r>
          </w:p>
        </w:tc>
        <w:tc>
          <w:tcPr>
            <w:tcW w:type="pct" w:w="20%"/>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Real-time + daily review</w:t>
            </w:r>
          </w:p>
        </w:tc>
        <w:tc>
          <w:tcPr>
            <w:tcW w:type="pct" w:w="20%"/>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Calibration Q1 2026</w:t>
            </w:r>
          </w:p>
        </w:tc>
      </w:tr>
      <w:tr>
        <w:tc>
          <w:tcPr>
            <w:tcW w:type="pct" w:w="40%"/>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STR Filing Procedures</w:t>
            </w:r>
          </w:p>
        </w:tc>
        <w:tc>
          <w:tcPr>
            <w:tcW w:type="pct" w:w="20%"/>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D4A017"/>
                <w:sz w:val="18"/>
                <w:szCs w:val="18"/>
              </w:rPr>
              <w:t xml:space="preserve">In place (untested)</w:t>
            </w:r>
          </w:p>
        </w:tc>
        <w:tc>
          <w:tcPr>
            <w:tcW w:type="pct" w:w="20%"/>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N/A (no triggers)</w:t>
            </w:r>
          </w:p>
        </w:tc>
        <w:tc>
          <w:tcPr>
            <w:tcW w:type="pct" w:w="20%"/>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Tabletop exercise Q2 2026</w:t>
            </w:r>
          </w:p>
        </w:tc>
      </w:tr>
      <w:tr>
        <w:tc>
          <w:tcPr>
            <w:tcW w:type="pct" w:w="40%"/>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Staff Training (AML)</w:t>
            </w:r>
          </w:p>
        </w:tc>
        <w:tc>
          <w:tcPr>
            <w:tcW w:type="pct" w:w="20%"/>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1B7A3D"/>
                <w:sz w:val="18"/>
                <w:szCs w:val="18"/>
              </w:rPr>
              <w:t xml:space="preserve">Completed</w:t>
            </w:r>
          </w:p>
        </w:tc>
        <w:tc>
          <w:tcPr>
            <w:tcW w:type="pct" w:w="20%"/>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Nov 2025</w:t>
            </w:r>
          </w:p>
        </w:tc>
        <w:tc>
          <w:tcPr>
            <w:tcW w:type="pct" w:w="20%"/>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Nov 2026</w:t>
            </w:r>
          </w:p>
        </w:tc>
      </w:tr>
      <w:tr>
        <w:tc>
          <w:tcPr>
            <w:tcW w:type="pct" w:w="40%"/>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Record Retention (7 years)</w:t>
            </w:r>
          </w:p>
        </w:tc>
        <w:tc>
          <w:tcPr>
            <w:tcW w:type="pct" w:w="20%"/>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1B7A3D"/>
                <w:sz w:val="18"/>
                <w:szCs w:val="18"/>
              </w:rPr>
              <w:t xml:space="preserve">Compliant</w:t>
            </w:r>
          </w:p>
        </w:tc>
        <w:tc>
          <w:tcPr>
            <w:tcW w:type="pct" w:w="20%"/>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Dec 2025</w:t>
            </w:r>
          </w:p>
        </w:tc>
        <w:tc>
          <w:tcPr>
            <w:tcW w:type="pct" w:w="20%"/>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Jun 2026</w:t>
            </w:r>
          </w:p>
        </w:tc>
      </w:tr>
    </w:tbl>
    <w:p>
      <w:pPr>
        <w:pBdr>
          <w:bottom w:val="single" w:color="2E75B6" w:sz="2" w:space="4"/>
        </w:pBdr>
        <w:spacing w:before="400" w:after="200"/>
      </w:pPr>
      <w:r>
        <w:rPr>
          <w:rFonts w:ascii="Times New Roman" w:cs="Times New Roman" w:eastAsia="Times New Roman" w:hAnsi="Times New Roman"/>
          <w:b/>
          <w:bCs/>
          <w:color w:val="1B2A4A"/>
          <w:sz w:val="26"/>
          <w:szCs w:val="26"/>
        </w:rPr>
        <w:t xml:space="preserve">4. REGULATORY MATTERS</w:t>
      </w:r>
    </w:p>
    <w:p>
      <w:pPr>
        <w:spacing w:before="0" w:after="80"/>
      </w:pPr>
      <w:r>
        <w:rPr>
          <w:rFonts w:ascii="Times New Roman" w:cs="Times New Roman" w:eastAsia="Times New Roman" w:hAnsi="Times New Roman"/>
          <w:b/>
          <w:bCs/>
          <w:color w:val="333333"/>
          <w:sz w:val="22"/>
          <w:szCs w:val="22"/>
        </w:rPr>
        <w:t xml:space="preserve">Regulatory Inquiries Received: 0</w:t>
      </w:r>
    </w:p>
    <w:p>
      <w:pPr>
        <w:spacing w:before="0" w:after="80"/>
      </w:pPr>
      <w:r>
        <w:rPr>
          <w:rFonts w:ascii="Times New Roman" w:cs="Times New Roman" w:eastAsia="Times New Roman" w:hAnsi="Times New Roman"/>
          <w:b/>
          <w:bCs/>
          <w:color w:val="333333"/>
          <w:sz w:val="22"/>
          <w:szCs w:val="22"/>
        </w:rPr>
        <w:t xml:space="preserve">Enforcement Actions: 0</w:t>
      </w:r>
    </w:p>
    <w:p>
      <w:pPr>
        <w:spacing w:before="0" w:after="80"/>
      </w:pPr>
      <w:r>
        <w:rPr>
          <w:rFonts w:ascii="Times New Roman" w:cs="Times New Roman" w:eastAsia="Times New Roman" w:hAnsi="Times New Roman"/>
          <w:b/>
          <w:bCs/>
          <w:color w:val="333333"/>
          <w:sz w:val="22"/>
          <w:szCs w:val="22"/>
        </w:rPr>
        <w:t xml:space="preserve">Licence Applications: N/A — Carbon trading does not require the applicable regulatory authority licensing under current HK law</w:t>
      </w:r>
    </w:p>
    <w:p>
      <w:pPr>
        <w:spacing w:before="0" w:after="200"/>
      </w:pPr>
      <w:r>
        <w:rPr>
          <w:rFonts w:ascii="Times New Roman" w:cs="Times New Roman" w:eastAsia="Times New Roman" w:hAnsi="Times New Roman"/>
          <w:b/>
          <w:bCs/>
          <w:color w:val="333333"/>
          <w:sz w:val="22"/>
          <w:szCs w:val="22"/>
        </w:rPr>
        <w:t xml:space="preserve">SAFE Inspections: 0 (next expected during annual compliance filing, March 2026)</w:t>
      </w:r>
    </w:p>
    <w:p>
      <w:pPr>
        <w:spacing w:before="0" w:after="100"/>
      </w:pPr>
      <w:r>
        <w:rPr>
          <w:rFonts w:ascii="Times New Roman" w:cs="Times New Roman" w:eastAsia="Times New Roman" w:hAnsi="Times New Roman"/>
          <w:b/>
          <w:bCs/>
          <w:color w:val="1B2A4A"/>
          <w:sz w:val="22"/>
          <w:szCs w:val="22"/>
        </w:rPr>
        <w:t xml:space="preserve">Regulatory Developments Monitored:</w:t>
      </w:r>
    </w:p>
    <w:p>
      <w:pPr>
        <w:spacing w:before="0" w:after="100"/>
      </w:pPr>
      <w:r>
        <w:rPr>
          <w:rFonts w:ascii="Times New Roman" w:cs="Times New Roman" w:eastAsia="Times New Roman" w:hAnsi="Times New Roman"/>
          <w:color w:val="333333"/>
          <w:sz w:val="22"/>
          <w:szCs w:val="22"/>
        </w:rPr>
        <w:t xml:space="preserve">(a) EU CBAM Definitive Phase (1 January 2026): NIHA has briefed affected clients on compliance obligations. Three clients have engaged NIHA for CBAM-related EUA sourcing.</w:t>
      </w:r>
    </w:p>
    <w:p>
      <w:pPr>
        <w:spacing w:before="0" w:after="100"/>
      </w:pPr>
      <w:r>
        <w:rPr>
          <w:rFonts w:ascii="Times New Roman" w:cs="Times New Roman" w:eastAsia="Times New Roman" w:hAnsi="Times New Roman"/>
          <w:color w:val="333333"/>
          <w:sz w:val="22"/>
          <w:szCs w:val="22"/>
        </w:rPr>
        <w:t xml:space="preserve">(b) China National ETS Sector Expansion (expected H2 2026): NIHA is preparing for aluminium and cement sector inclusion. CEA inventory positioning underway.</w:t>
      </w:r>
    </w:p>
    <w:p>
      <w:pPr>
        <w:spacing w:before="0" w:after="100"/>
      </w:pPr>
      <w:r>
        <w:rPr>
          <w:rFonts w:ascii="Times New Roman" w:cs="Times New Roman" w:eastAsia="Times New Roman" w:hAnsi="Times New Roman"/>
          <w:color w:val="333333"/>
          <w:sz w:val="22"/>
          <w:szCs w:val="22"/>
        </w:rPr>
        <w:t xml:space="preserve">(c) HK the applicable regulatory authority Consultation Paper on Tokenised Securities (Oct 2025): Monitored for potential implications on tokenised carbon credits. No current impact on NIHA's operations.</w:t>
      </w:r>
    </w:p>
    <w:p>
      <w:pPr>
        <w:spacing w:before="0" w:after="200"/>
      </w:pPr>
      <w:r>
        <w:rPr>
          <w:rFonts w:ascii="Times New Roman" w:cs="Times New Roman" w:eastAsia="Times New Roman" w:hAnsi="Times New Roman"/>
          <w:color w:val="333333"/>
          <w:sz w:val="22"/>
          <w:szCs w:val="22"/>
        </w:rPr>
        <w:t xml:space="preserve">(d) GBA Carbon Connect Pilot: Discussions ongoing. NIHA has expressed interest through HKEX.</w:t>
      </w:r>
    </w:p>
    <w:p>
      <w:pPr>
        <w:pBdr>
          <w:bottom w:val="single" w:color="2E75B6" w:sz="2" w:space="4"/>
        </w:pBdr>
        <w:spacing w:before="400" w:after="200"/>
      </w:pPr>
      <w:r>
        <w:rPr>
          <w:rFonts w:ascii="Times New Roman" w:cs="Times New Roman" w:eastAsia="Times New Roman" w:hAnsi="Times New Roman"/>
          <w:b/>
          <w:bCs/>
          <w:color w:val="1B2A4A"/>
          <w:sz w:val="26"/>
          <w:szCs w:val="26"/>
        </w:rPr>
        <w:t xml:space="preserve">5. DATA PROTECTION (PDPO)</w:t>
      </w:r>
    </w:p>
    <w:p>
      <w:pPr>
        <w:spacing w:before="0" w:after="80"/>
      </w:pPr>
      <w:r>
        <w:rPr>
          <w:rFonts w:ascii="Times New Roman" w:cs="Times New Roman" w:eastAsia="Times New Roman" w:hAnsi="Times New Roman"/>
          <w:b/>
          <w:bCs/>
          <w:color w:val="333333"/>
          <w:sz w:val="22"/>
          <w:szCs w:val="22"/>
        </w:rPr>
        <w:t xml:space="preserve">Data Subject Access Requests (DSARs): 0</w:t>
      </w:r>
    </w:p>
    <w:p>
      <w:pPr>
        <w:spacing w:before="0" w:after="80"/>
      </w:pPr>
      <w:r>
        <w:rPr>
          <w:rFonts w:ascii="Times New Roman" w:cs="Times New Roman" w:eastAsia="Times New Roman" w:hAnsi="Times New Roman"/>
          <w:b/>
          <w:bCs/>
          <w:color w:val="333333"/>
          <w:sz w:val="22"/>
          <w:szCs w:val="22"/>
        </w:rPr>
        <w:t xml:space="preserve">Data Breaches: 0</w:t>
      </w:r>
    </w:p>
    <w:p>
      <w:pPr>
        <w:spacing w:before="0" w:after="80"/>
      </w:pPr>
      <w:r>
        <w:rPr>
          <w:rFonts w:ascii="Times New Roman" w:cs="Times New Roman" w:eastAsia="Times New Roman" w:hAnsi="Times New Roman"/>
          <w:b/>
          <w:bCs/>
          <w:color w:val="333333"/>
          <w:sz w:val="22"/>
          <w:szCs w:val="22"/>
        </w:rPr>
        <w:t xml:space="preserve">Cross-Border Data Transfers: Implemented standard contractual clauses for EU client data transfers (GDPR compliance via adequacy mechanisms)</w:t>
      </w:r>
    </w:p>
    <w:p>
      <w:pPr>
        <w:spacing w:before="0" w:after="200"/>
      </w:pPr>
      <w:r>
        <w:rPr>
          <w:rFonts w:ascii="Times New Roman" w:cs="Times New Roman" w:eastAsia="Times New Roman" w:hAnsi="Times New Roman"/>
          <w:b/>
          <w:bCs/>
          <w:color w:val="333333"/>
          <w:sz w:val="22"/>
          <w:szCs w:val="22"/>
        </w:rPr>
        <w:t xml:space="preserve">Privacy Impact Assessment: Completed for CEA→EUA conversion process (involves PRC and EU data flows)</w:t>
      </w:r>
    </w:p>
    <w:p>
      <w:r>
        <w:br w:type="page"/>
      </w:r>
    </w:p>
    <w:p>
      <w:pPr>
        <w:pBdr>
          <w:bottom w:val="single" w:color="2E75B6" w:sz="2" w:space="4"/>
        </w:pBdr>
        <w:spacing w:before="400" w:after="200"/>
      </w:pPr>
      <w:r>
        <w:rPr>
          <w:rFonts w:ascii="Times New Roman" w:cs="Times New Roman" w:eastAsia="Times New Roman" w:hAnsi="Times New Roman"/>
          <w:b/>
          <w:bCs/>
          <w:color w:val="1B2A4A"/>
          <w:sz w:val="26"/>
          <w:szCs w:val="26"/>
        </w:rPr>
        <w:t xml:space="preserve">6. BUSINESS CONTINUITY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CCCCCC" w:sz="1"/>
              <w:left w:val="single" w:color="CCCCCC" w:sz="1"/>
              <w:bottom w:val="single" w:color="CCCCCC" w:sz="1"/>
              <w:right w:val="single" w:color="CCCCCC" w:sz="1"/>
            </w:tcBorders>
            <w:shd w:color="1B2A4A" w:val="solid"/>
          </w:tcPr>
          <w:p>
            <w:pPr>
              <w:spacing w:before="60" w:after="60"/>
            </w:pPr>
            <w:r>
              <w:rPr>
                <w:rFonts w:ascii="Times New Roman" w:cs="Times New Roman" w:eastAsia="Times New Roman" w:hAnsi="Times New Roman"/>
                <w:b/>
                <w:bCs/>
                <w:color w:val="FFFFFF"/>
                <w:sz w:val="18"/>
                <w:szCs w:val="18"/>
              </w:rPr>
              <w:t xml:space="preserve">Test Type</w:t>
            </w:r>
          </w:p>
        </w:tc>
        <w:tc>
          <w:tcPr>
            <w:tcW w:type="pct" w:w="15%"/>
            <w:tcBorders>
              <w:top w:val="single" w:color="CCCCCC" w:sz="1"/>
              <w:left w:val="single" w:color="CCCCCC" w:sz="1"/>
              <w:bottom w:val="single" w:color="CCCCCC" w:sz="1"/>
              <w:right w:val="single" w:color="CCCCCC" w:sz="1"/>
            </w:tcBorders>
            <w:shd w:color="1B2A4A" w:val="solid"/>
          </w:tcPr>
          <w:p>
            <w:pPr>
              <w:spacing w:before="60" w:after="60"/>
            </w:pPr>
            <w:r>
              <w:rPr>
                <w:rFonts w:ascii="Times New Roman" w:cs="Times New Roman" w:eastAsia="Times New Roman" w:hAnsi="Times New Roman"/>
                <w:b/>
                <w:bCs/>
                <w:color w:val="FFFFFF"/>
                <w:sz w:val="18"/>
                <w:szCs w:val="18"/>
              </w:rPr>
              <w:t xml:space="preserve">Date</w:t>
            </w:r>
          </w:p>
        </w:tc>
        <w:tc>
          <w:tcPr>
            <w:tcW w:type="pct" w:w="20%"/>
            <w:tcBorders>
              <w:top w:val="single" w:color="CCCCCC" w:sz="1"/>
              <w:left w:val="single" w:color="CCCCCC" w:sz="1"/>
              <w:bottom w:val="single" w:color="CCCCCC" w:sz="1"/>
              <w:right w:val="single" w:color="CCCCCC" w:sz="1"/>
            </w:tcBorders>
            <w:shd w:color="1B2A4A" w:val="solid"/>
          </w:tcPr>
          <w:p>
            <w:pPr>
              <w:spacing w:before="60" w:after="60"/>
            </w:pPr>
            <w:r>
              <w:rPr>
                <w:rFonts w:ascii="Times New Roman" w:cs="Times New Roman" w:eastAsia="Times New Roman" w:hAnsi="Times New Roman"/>
                <w:b/>
                <w:bCs/>
                <w:color w:val="FFFFFF"/>
                <w:sz w:val="18"/>
                <w:szCs w:val="18"/>
              </w:rPr>
              <w:t xml:space="preserve">Result</w:t>
            </w:r>
          </w:p>
        </w:tc>
        <w:tc>
          <w:tcPr>
            <w:tcW w:type="pct" w:w="40%"/>
            <w:tcBorders>
              <w:top w:val="single" w:color="CCCCCC" w:sz="1"/>
              <w:left w:val="single" w:color="CCCCCC" w:sz="1"/>
              <w:bottom w:val="single" w:color="CCCCCC" w:sz="1"/>
              <w:right w:val="single" w:color="CCCCCC" w:sz="1"/>
            </w:tcBorders>
            <w:shd w:color="1B2A4A" w:val="solid"/>
          </w:tcPr>
          <w:p>
            <w:pPr>
              <w:spacing w:before="60" w:after="60"/>
            </w:pPr>
            <w:r>
              <w:rPr>
                <w:rFonts w:ascii="Times New Roman" w:cs="Times New Roman" w:eastAsia="Times New Roman" w:hAnsi="Times New Roman"/>
                <w:b/>
                <w:bCs/>
                <w:color w:val="FFFFFF"/>
                <w:sz w:val="18"/>
                <w:szCs w:val="18"/>
              </w:rPr>
              <w:t xml:space="preserve">Key Findings</w:t>
            </w:r>
          </w:p>
        </w:tc>
      </w:tr>
      <w:tr>
        <w:tc>
          <w:tcPr>
            <w:tcW w:type="pct" w:w="25%"/>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Desktop Walkthrough</w:t>
            </w:r>
          </w:p>
        </w:tc>
        <w:tc>
          <w:tcPr>
            <w:tcW w:type="pct" w:w="15%"/>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Aug 2025</w:t>
            </w:r>
          </w:p>
        </w:tc>
        <w:tc>
          <w:tcPr>
            <w:tcW w:type="pct" w:w="20%"/>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1B7A3D"/>
                <w:sz w:val="18"/>
                <w:szCs w:val="18"/>
              </w:rPr>
              <w:t xml:space="preserve">Pass</w:t>
            </w:r>
          </w:p>
        </w:tc>
        <w:tc>
          <w:tcPr>
            <w:tcW w:type="pct" w:w="40%"/>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All critical functions mapped; contact lists updated</w:t>
            </w:r>
          </w:p>
        </w:tc>
      </w:tr>
      <w:tr>
        <w:tc>
          <w:tcPr>
            <w:tcW w:type="pct" w:w="25%"/>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Communication Test</w:t>
            </w:r>
          </w:p>
        </w:tc>
        <w:tc>
          <w:tcPr>
            <w:tcW w:type="pct" w:w="15%"/>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Oct 2025</w:t>
            </w:r>
          </w:p>
        </w:tc>
        <w:tc>
          <w:tcPr>
            <w:tcW w:type="pct" w:w="20%"/>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1B7A3D"/>
                <w:sz w:val="18"/>
                <w:szCs w:val="18"/>
              </w:rPr>
              <w:t xml:space="preserve">Pass</w:t>
            </w:r>
          </w:p>
        </w:tc>
        <w:tc>
          <w:tcPr>
            <w:tcW w:type="pct" w:w="40%"/>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All personnel reached within 30 minutes</w:t>
            </w:r>
          </w:p>
        </w:tc>
      </w:tr>
      <w:tr>
        <w:tc>
          <w:tcPr>
            <w:tcW w:type="pct" w:w="25%"/>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Registry Failover</w:t>
            </w:r>
          </w:p>
        </w:tc>
        <w:tc>
          <w:tcPr>
            <w:tcW w:type="pct" w:w="15%"/>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Nov 2025</w:t>
            </w:r>
          </w:p>
        </w:tc>
        <w:tc>
          <w:tcPr>
            <w:tcW w:type="pct" w:w="20%"/>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D4A017"/>
                <w:sz w:val="18"/>
                <w:szCs w:val="18"/>
              </w:rPr>
              <w:t xml:space="preserve">Pass (partial)</w:t>
            </w:r>
          </w:p>
        </w:tc>
        <w:tc>
          <w:tcPr>
            <w:tcW w:type="pct" w:w="40%"/>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EU Registry backup access confirmed; CEEX backup pending</w:t>
            </w:r>
          </w:p>
        </w:tc>
      </w:tr>
      <w:tr>
        <w:tc>
          <w:tcPr>
            <w:tcW w:type="pct" w:w="25%"/>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Full BCP Exercise</w:t>
            </w:r>
          </w:p>
        </w:tc>
        <w:tc>
          <w:tcPr>
            <w:tcW w:type="pct" w:w="15%"/>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Scheduled</w:t>
            </w:r>
          </w:p>
        </w:tc>
        <w:tc>
          <w:tcPr>
            <w:tcW w:type="pct" w:w="20%"/>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Q2 2026</w:t>
            </w:r>
          </w:p>
        </w:tc>
        <w:tc>
          <w:tcPr>
            <w:tcW w:type="pct" w:w="40%"/>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First full-scale test planned for June 2026</w:t>
            </w:r>
          </w:p>
        </w:tc>
      </w:tr>
    </w:tbl>
    <w:p>
      <w:pPr>
        <w:pBdr>
          <w:bottom w:val="single" w:color="2E75B6" w:sz="2" w:space="4"/>
        </w:pBdr>
        <w:spacing w:before="400" w:after="200"/>
      </w:pPr>
      <w:r>
        <w:rPr>
          <w:rFonts w:ascii="Times New Roman" w:cs="Times New Roman" w:eastAsia="Times New Roman" w:hAnsi="Times New Roman"/>
          <w:b/>
          <w:bCs/>
          <w:color w:val="1B2A4A"/>
          <w:sz w:val="26"/>
          <w:szCs w:val="26"/>
        </w:rPr>
        <w:t xml:space="preserve">7. TRAINING &amp; AWARENESS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5%"/>
            <w:tcBorders>
              <w:top w:val="single" w:color="CCCCCC" w:sz="1"/>
              <w:left w:val="single" w:color="CCCCCC" w:sz="1"/>
              <w:bottom w:val="single" w:color="CCCCCC" w:sz="1"/>
              <w:right w:val="single" w:color="CCCCCC" w:sz="1"/>
            </w:tcBorders>
            <w:shd w:color="1B2A4A" w:val="solid"/>
          </w:tcPr>
          <w:p>
            <w:pPr>
              <w:spacing w:before="60" w:after="60"/>
            </w:pPr>
            <w:r>
              <w:rPr>
                <w:rFonts w:ascii="Times New Roman" w:cs="Times New Roman" w:eastAsia="Times New Roman" w:hAnsi="Times New Roman"/>
                <w:b/>
                <w:bCs/>
                <w:color w:val="FFFFFF"/>
                <w:sz w:val="18"/>
                <w:szCs w:val="18"/>
              </w:rPr>
              <w:t xml:space="preserve">Training Programme</w:t>
            </w:r>
          </w:p>
        </w:tc>
        <w:tc>
          <w:tcPr>
            <w:tcW w:type="pct" w:w="15%"/>
            <w:tcBorders>
              <w:top w:val="single" w:color="CCCCCC" w:sz="1"/>
              <w:left w:val="single" w:color="CCCCCC" w:sz="1"/>
              <w:bottom w:val="single" w:color="CCCCCC" w:sz="1"/>
              <w:right w:val="single" w:color="CCCCCC" w:sz="1"/>
            </w:tcBorders>
            <w:shd w:color="1B2A4A" w:val="solid"/>
          </w:tcPr>
          <w:p>
            <w:pPr>
              <w:spacing w:before="60" w:after="60"/>
            </w:pPr>
            <w:r>
              <w:rPr>
                <w:rFonts w:ascii="Times New Roman" w:cs="Times New Roman" w:eastAsia="Times New Roman" w:hAnsi="Times New Roman"/>
                <w:b/>
                <w:bCs/>
                <w:color w:val="FFFFFF"/>
                <w:sz w:val="18"/>
                <w:szCs w:val="18"/>
              </w:rPr>
              <w:t xml:space="preserve">Date</w:t>
            </w:r>
          </w:p>
        </w:tc>
        <w:tc>
          <w:tcPr>
            <w:tcW w:type="pct" w:w="15%"/>
            <w:tcBorders>
              <w:top w:val="single" w:color="CCCCCC" w:sz="1"/>
              <w:left w:val="single" w:color="CCCCCC" w:sz="1"/>
              <w:bottom w:val="single" w:color="CCCCCC" w:sz="1"/>
              <w:right w:val="single" w:color="CCCCCC" w:sz="1"/>
            </w:tcBorders>
            <w:shd w:color="1B2A4A" w:val="solid"/>
          </w:tcPr>
          <w:p>
            <w:pPr>
              <w:spacing w:before="60" w:after="60"/>
            </w:pPr>
            <w:r>
              <w:rPr>
                <w:rFonts w:ascii="Times New Roman" w:cs="Times New Roman" w:eastAsia="Times New Roman" w:hAnsi="Times New Roman"/>
                <w:b/>
                <w:bCs/>
                <w:color w:val="FFFFFF"/>
                <w:sz w:val="18"/>
                <w:szCs w:val="18"/>
              </w:rPr>
              <w:t xml:space="preserve">Attendees</w:t>
            </w:r>
          </w:p>
        </w:tc>
        <w:tc>
          <w:tcPr>
            <w:tcW w:type="pct" w:w="15%"/>
            <w:tcBorders>
              <w:top w:val="single" w:color="CCCCCC" w:sz="1"/>
              <w:left w:val="single" w:color="CCCCCC" w:sz="1"/>
              <w:bottom w:val="single" w:color="CCCCCC" w:sz="1"/>
              <w:right w:val="single" w:color="CCCCCC" w:sz="1"/>
            </w:tcBorders>
            <w:shd w:color="1B2A4A" w:val="solid"/>
          </w:tcPr>
          <w:p>
            <w:pPr>
              <w:spacing w:before="60" w:after="60"/>
            </w:pPr>
            <w:r>
              <w:rPr>
                <w:rFonts w:ascii="Times New Roman" w:cs="Times New Roman" w:eastAsia="Times New Roman" w:hAnsi="Times New Roman"/>
                <w:b/>
                <w:bCs/>
                <w:color w:val="FFFFFF"/>
                <w:sz w:val="18"/>
                <w:szCs w:val="18"/>
              </w:rPr>
              <w:t xml:space="preserve">Completion</w:t>
            </w:r>
          </w:p>
        </w:tc>
        <w:tc>
          <w:tcPr>
            <w:tcW w:type="pct" w:w="20%"/>
            <w:tcBorders>
              <w:top w:val="single" w:color="CCCCCC" w:sz="1"/>
              <w:left w:val="single" w:color="CCCCCC" w:sz="1"/>
              <w:bottom w:val="single" w:color="CCCCCC" w:sz="1"/>
              <w:right w:val="single" w:color="CCCCCC" w:sz="1"/>
            </w:tcBorders>
            <w:shd w:color="1B2A4A" w:val="solid"/>
          </w:tcPr>
          <w:p>
            <w:pPr>
              <w:spacing w:before="60" w:after="60"/>
            </w:pPr>
            <w:r>
              <w:rPr>
                <w:rFonts w:ascii="Times New Roman" w:cs="Times New Roman" w:eastAsia="Times New Roman" w:hAnsi="Times New Roman"/>
                <w:b/>
                <w:bCs/>
                <w:color w:val="FFFFFF"/>
                <w:sz w:val="18"/>
                <w:szCs w:val="18"/>
              </w:rPr>
              <w:t xml:space="preserve">Next Session</w:t>
            </w:r>
          </w:p>
        </w:tc>
      </w:tr>
      <w:tr>
        <w:tc>
          <w:tcPr>
            <w:tcW w:type="pct" w:w="35%"/>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AML/CFT Awareness</w:t>
            </w:r>
          </w:p>
        </w:tc>
        <w:tc>
          <w:tcPr>
            <w:tcW w:type="pct" w:w="15%"/>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Nov 2025</w:t>
            </w:r>
          </w:p>
        </w:tc>
        <w:tc>
          <w:tcPr>
            <w:tcW w:type="pct" w:w="15%"/>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All staff</w:t>
            </w:r>
          </w:p>
        </w:tc>
        <w:tc>
          <w:tcPr>
            <w:tcW w:type="pct" w:w="15%"/>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1B7A3D"/>
                <w:sz w:val="18"/>
                <w:szCs w:val="18"/>
              </w:rPr>
              <w:t xml:space="preserve">100%</w:t>
            </w:r>
          </w:p>
        </w:tc>
        <w:tc>
          <w:tcPr>
            <w:tcW w:type="pct" w:w="20%"/>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Nov 2026</w:t>
            </w:r>
          </w:p>
        </w:tc>
      </w:tr>
      <w:tr>
        <w:tc>
          <w:tcPr>
            <w:tcW w:type="pct" w:w="35%"/>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Sanctions &amp; PEP Screening</w:t>
            </w:r>
          </w:p>
        </w:tc>
        <w:tc>
          <w:tcPr>
            <w:tcW w:type="pct" w:w="15%"/>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Oct 2025</w:t>
            </w:r>
          </w:p>
        </w:tc>
        <w:tc>
          <w:tcPr>
            <w:tcW w:type="pct" w:w="15%"/>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CO, MLRO</w:t>
            </w:r>
          </w:p>
        </w:tc>
        <w:tc>
          <w:tcPr>
            <w:tcW w:type="pct" w:w="15%"/>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1B7A3D"/>
                <w:sz w:val="18"/>
                <w:szCs w:val="18"/>
              </w:rPr>
              <w:t xml:space="preserve">100%</w:t>
            </w:r>
          </w:p>
        </w:tc>
        <w:tc>
          <w:tcPr>
            <w:tcW w:type="pct" w:w="20%"/>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Oct 2026</w:t>
            </w:r>
          </w:p>
        </w:tc>
      </w:tr>
      <w:tr>
        <w:tc>
          <w:tcPr>
            <w:tcW w:type="pct" w:w="35%"/>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Carbon Market Regulations</w:t>
            </w:r>
          </w:p>
        </w:tc>
        <w:tc>
          <w:tcPr>
            <w:tcW w:type="pct" w:w="15%"/>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Sep 2025</w:t>
            </w:r>
          </w:p>
        </w:tc>
        <w:tc>
          <w:tcPr>
            <w:tcW w:type="pct" w:w="15%"/>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Trading desk</w:t>
            </w:r>
          </w:p>
        </w:tc>
        <w:tc>
          <w:tcPr>
            <w:tcW w:type="pct" w:w="15%"/>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1B7A3D"/>
                <w:sz w:val="18"/>
                <w:szCs w:val="18"/>
              </w:rPr>
              <w:t xml:space="preserve">100%</w:t>
            </w:r>
          </w:p>
        </w:tc>
        <w:tc>
          <w:tcPr>
            <w:tcW w:type="pct" w:w="20%"/>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Sep 2026</w:t>
            </w:r>
          </w:p>
        </w:tc>
      </w:tr>
      <w:tr>
        <w:tc>
          <w:tcPr>
            <w:tcW w:type="pct" w:w="35%"/>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PDPO / Data Protection</w:t>
            </w:r>
          </w:p>
        </w:tc>
        <w:tc>
          <w:tcPr>
            <w:tcW w:type="pct" w:w="15%"/>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Dec 2025</w:t>
            </w:r>
          </w:p>
        </w:tc>
        <w:tc>
          <w:tcPr>
            <w:tcW w:type="pct" w:w="15%"/>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All staff</w:t>
            </w:r>
          </w:p>
        </w:tc>
        <w:tc>
          <w:tcPr>
            <w:tcW w:type="pct" w:w="15%"/>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1B7A3D"/>
                <w:sz w:val="18"/>
                <w:szCs w:val="18"/>
              </w:rPr>
              <w:t xml:space="preserve">100%</w:t>
            </w:r>
          </w:p>
        </w:tc>
        <w:tc>
          <w:tcPr>
            <w:tcW w:type="pct" w:w="20%"/>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Dec 2026</w:t>
            </w:r>
          </w:p>
        </w:tc>
      </w:tr>
      <w:tr>
        <w:tc>
          <w:tcPr>
            <w:tcW w:type="pct" w:w="35%"/>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Business Continuity</w:t>
            </w:r>
          </w:p>
        </w:tc>
        <w:tc>
          <w:tcPr>
            <w:tcW w:type="pct" w:w="15%"/>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Aug 2025</w:t>
            </w:r>
          </w:p>
        </w:tc>
        <w:tc>
          <w:tcPr>
            <w:tcW w:type="pct" w:w="15%"/>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All staff</w:t>
            </w:r>
          </w:p>
        </w:tc>
        <w:tc>
          <w:tcPr>
            <w:tcW w:type="pct" w:w="15%"/>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1B7A3D"/>
                <w:sz w:val="18"/>
                <w:szCs w:val="18"/>
              </w:rPr>
              <w:t xml:space="preserve">100%</w:t>
            </w:r>
          </w:p>
        </w:tc>
        <w:tc>
          <w:tcPr>
            <w:tcW w:type="pct" w:w="20%"/>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Aug 2026</w:t>
            </w:r>
          </w:p>
        </w:tc>
      </w:tr>
    </w:tbl>
    <w:p>
      <w:pPr>
        <w:pBdr>
          <w:bottom w:val="single" w:color="2E75B6" w:sz="2" w:space="4"/>
        </w:pBdr>
        <w:spacing w:before="400" w:after="200"/>
      </w:pPr>
      <w:r>
        <w:rPr>
          <w:rFonts w:ascii="Times New Roman" w:cs="Times New Roman" w:eastAsia="Times New Roman" w:hAnsi="Times New Roman"/>
          <w:b/>
          <w:bCs/>
          <w:color w:val="1B2A4A"/>
          <w:sz w:val="26"/>
          <w:szCs w:val="26"/>
        </w:rPr>
        <w:t xml:space="preserve">8. RECOMMENDATIONS FOR 2026</w:t>
      </w:r>
    </w:p>
    <w:p>
      <w:pPr>
        <w:spacing w:before="0" w:after="200"/>
      </w:pPr>
      <w:r>
        <w:rPr>
          <w:rFonts w:ascii="Times New Roman" w:cs="Times New Roman" w:eastAsia="Times New Roman" w:hAnsi="Times New Roman"/>
          <w:color w:val="333333"/>
          <w:sz w:val="22"/>
          <w:szCs w:val="22"/>
        </w:rPr>
        <w:t xml:space="preserve">Based on the compliance activities and findings during the reporting period, the Compliance Officer recommends the following enhancements for 2026:</w:t>
      </w:r>
    </w:p>
    <w:p>
      <w:pPr>
        <w:spacing w:before="0" w:after="100"/>
      </w:pPr>
      <w:r>
        <w:rPr>
          <w:rFonts w:ascii="Times New Roman" w:cs="Times New Roman" w:eastAsia="Times New Roman" w:hAnsi="Times New Roman"/>
          <w:b/>
          <w:bCs/>
          <w:color w:val="1B2A4A"/>
          <w:sz w:val="22"/>
          <w:szCs w:val="22"/>
        </w:rPr>
        <w:t xml:space="preserve">8.1 Recalibrate Transaction Monitoring Thresholds</w:t>
      </w:r>
    </w:p>
    <w:p>
      <w:pPr>
        <w:spacing w:before="0" w:after="150"/>
      </w:pPr>
      <w:r>
        <w:rPr>
          <w:rFonts w:ascii="Times New Roman" w:cs="Times New Roman" w:eastAsia="Times New Roman" w:hAnsi="Times New Roman"/>
          <w:color w:val="333333"/>
          <w:sz w:val="22"/>
          <w:szCs w:val="22"/>
        </w:rPr>
        <w:t xml:space="preserve">The current 100% false positive rate on automated alerts indicates that monitoring thresholds require adjustment. Recommendation: Conduct a full threshold review in Q1 2026, leveraging 7 months of transaction history data to establish risk-appropriate alert parameters.</w:t>
      </w:r>
    </w:p>
    <w:p>
      <w:pPr>
        <w:spacing w:before="0" w:after="100"/>
      </w:pPr>
      <w:r>
        <w:rPr>
          <w:rFonts w:ascii="Times New Roman" w:cs="Times New Roman" w:eastAsia="Times New Roman" w:hAnsi="Times New Roman"/>
          <w:b/>
          <w:bCs/>
          <w:color w:val="1B2A4A"/>
          <w:sz w:val="22"/>
          <w:szCs w:val="22"/>
        </w:rPr>
        <w:t xml:space="preserve">8.2 STR Filing Tabletop Exercise</w:t>
      </w:r>
    </w:p>
    <w:p>
      <w:pPr>
        <w:spacing w:before="0" w:after="150"/>
      </w:pPr>
      <w:r>
        <w:rPr>
          <w:rFonts w:ascii="Times New Roman" w:cs="Times New Roman" w:eastAsia="Times New Roman" w:hAnsi="Times New Roman"/>
          <w:color w:val="333333"/>
          <w:sz w:val="22"/>
          <w:szCs w:val="22"/>
        </w:rPr>
        <w:t xml:space="preserve">While no suspicious activity has been identified, the STR filing procedure has not been tested in a live scenario. Recommendation: Schedule a tabletop exercise in Q2 2026 simulating a suspicious transaction scenario, including JFIU notification procedures.</w:t>
      </w:r>
    </w:p>
    <w:p>
      <w:pPr>
        <w:spacing w:before="0" w:after="100"/>
      </w:pPr>
      <w:r>
        <w:rPr>
          <w:rFonts w:ascii="Times New Roman" w:cs="Times New Roman" w:eastAsia="Times New Roman" w:hAnsi="Times New Roman"/>
          <w:b/>
          <w:bCs/>
          <w:color w:val="1B2A4A"/>
          <w:sz w:val="22"/>
          <w:szCs w:val="22"/>
        </w:rPr>
        <w:t xml:space="preserve">8.3 CEEX Backup Access Procedures</w:t>
      </w:r>
    </w:p>
    <w:p>
      <w:pPr>
        <w:spacing w:before="0" w:after="200"/>
      </w:pPr>
      <w:r>
        <w:rPr>
          <w:rFonts w:ascii="Times New Roman" w:cs="Times New Roman" w:eastAsia="Times New Roman" w:hAnsi="Times New Roman"/>
          <w:color w:val="333333"/>
          <w:sz w:val="22"/>
          <w:szCs w:val="22"/>
        </w:rPr>
        <w:t xml:space="preserve">The November BCP test revealed that CEEX backup access procedures are not fully documented. Recommendation: Engage CEEX support to establish and test backup access protocols for the foreign investor account by Q1 2026.</w:t>
      </w:r>
    </w:p>
    <w:p>
      <w:pPr>
        <w:pBdr>
          <w:top w:val="single" w:color="1B2A4A" w:sz="2" w:space="8"/>
        </w:pBdr>
        <w:spacing w:before="400"/>
      </w:pPr>
    </w:p>
    <w:p>
      <w:pPr>
        <w:spacing w:before="0" w:after="200"/>
      </w:pPr>
      <w:r>
        <w:rPr>
          <w:rFonts w:ascii="Times New Roman" w:cs="Times New Roman" w:eastAsia="Times New Roman" w:hAnsi="Times New Roman"/>
          <w:b/>
          <w:bCs/>
          <w:color w:val="1B2A4A"/>
          <w:sz w:val="24"/>
          <w:szCs w:val="24"/>
        </w:rPr>
        <w:t xml:space="preserve">ATTESTATION</w:t>
      </w:r>
    </w:p>
    <w:p>
      <w:pPr>
        <w:spacing w:before="0" w:after="300"/>
      </w:pPr>
      <w:r>
        <w:rPr>
          <w:rFonts w:ascii="Times New Roman" w:cs="Times New Roman" w:eastAsia="Times New Roman" w:hAnsi="Times New Roman"/>
          <w:color w:val="333333"/>
          <w:sz w:val="22"/>
          <w:szCs w:val="22"/>
        </w:rPr>
        <w:t xml:space="preserve">I, the undersigned Compliance Officer of Italy Nihao Group Limited, attest that this Annual Compliance Report represents a true and accurate account of NIHA's compliance activities during the reporting period. The compliance framework is operating effectively, and the areas identified for enhancement do not represent material control weaknesses.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tcBorders>
              <w:top w:val="single" w:color="CCCCCC" w:sz="1"/>
              <w:left w:val="single" w:color="CCCCCC" w:sz="1"/>
              <w:bottom w:val="single" w:color="CCCCCC" w:sz="1"/>
              <w:right w:val="single" w:color="CCCCCC" w:sz="1"/>
            </w:tcBorders>
            <w:shd w:color="1B2A4A" w:val="solid"/>
          </w:tcPr>
          <w:p>
            <w:pPr>
              <w:spacing w:before="60" w:after="60"/>
            </w:pPr>
            <w:r>
              <w:rPr>
                <w:rFonts w:ascii="Times New Roman" w:cs="Times New Roman" w:eastAsia="Times New Roman" w:hAnsi="Times New Roman"/>
                <w:b/>
                <w:bCs/>
                <w:color w:val="FFFFFF"/>
                <w:sz w:val="18"/>
                <w:szCs w:val="18"/>
              </w:rPr>
              <w:t xml:space="preserve">Compliance Officer</w:t>
            </w:r>
          </w:p>
        </w:tc>
        <w:tc>
          <w:tcPr>
            <w:tcW w:type="pct" w:w="34%"/>
            <w:tcBorders>
              <w:top w:val="single" w:color="CCCCCC" w:sz="1"/>
              <w:left w:val="single" w:color="CCCCCC" w:sz="1"/>
              <w:bottom w:val="single" w:color="CCCCCC" w:sz="1"/>
              <w:right w:val="single" w:color="CCCCCC" w:sz="1"/>
            </w:tcBorders>
            <w:shd w:color="1B2A4A" w:val="solid"/>
          </w:tcPr>
          <w:p>
            <w:pPr>
              <w:spacing w:before="60" w:after="60"/>
            </w:pPr>
            <w:r>
              <w:rPr>
                <w:rFonts w:ascii="Times New Roman" w:cs="Times New Roman" w:eastAsia="Times New Roman" w:hAnsi="Times New Roman"/>
                <w:b/>
                <w:bCs/>
                <w:color w:val="FFFFFF"/>
                <w:sz w:val="18"/>
                <w:szCs w:val="18"/>
              </w:rPr>
              <w:t xml:space="preserve">MLRO</w:t>
            </w:r>
          </w:p>
        </w:tc>
        <w:tc>
          <w:tcPr>
            <w:tcW w:type="pct" w:w="33%"/>
            <w:tcBorders>
              <w:top w:val="single" w:color="CCCCCC" w:sz="1"/>
              <w:left w:val="single" w:color="CCCCCC" w:sz="1"/>
              <w:bottom w:val="single" w:color="CCCCCC" w:sz="1"/>
              <w:right w:val="single" w:color="CCCCCC" w:sz="1"/>
            </w:tcBorders>
            <w:shd w:color="1B2A4A" w:val="solid"/>
          </w:tcPr>
          <w:p>
            <w:pPr>
              <w:spacing w:before="60" w:after="60"/>
            </w:pPr>
            <w:r>
              <w:rPr>
                <w:rFonts w:ascii="Times New Roman" w:cs="Times New Roman" w:eastAsia="Times New Roman" w:hAnsi="Times New Roman"/>
                <w:b/>
                <w:bCs/>
                <w:color w:val="FFFFFF"/>
                <w:sz w:val="18"/>
                <w:szCs w:val="18"/>
              </w:rPr>
              <w:t xml:space="preserve">Board Acknowledgement</w:t>
            </w:r>
          </w:p>
        </w:tc>
      </w:tr>
      <w:tr>
        <w:tc>
          <w:tcPr>
            <w:tcW w:type="pct" w:w="33%"/>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Signature: ____________ Name: [CO Name] Date: 15 January 2026</w:t>
            </w:r>
          </w:p>
        </w:tc>
        <w:tc>
          <w:tcPr>
            <w:tcW w:type="pct" w:w="34%"/>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Signature: ____________ Name: [MLRO Name] Date: 15 January 2026</w:t>
            </w:r>
          </w:p>
        </w:tc>
        <w:tc>
          <w:tcPr>
            <w:tcW w:type="pct" w:w="33%"/>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Signature: ____________ Name: [Chairman] Date: ____/____/2026</w:t>
            </w:r>
          </w:p>
        </w:tc>
      </w:tr>
    </w:tbl>
    <w:sectPr>
      <w:headerReference w:type="default" r:id="rId6"/>
      <w:footerReference w:type="default" r:id="rId7"/>
      <w:pgSz w:w="11906" w:h="16838" w:orient="portrait"/>
      <w:pgMar w:top="1200" w:right="1000" w:bottom="12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Times New Roman" w:cs="Times New Roman" w:eastAsia="Times New Roman" w:hAnsi="Times New Roman"/>
        <w:color w:val="666666"/>
        <w:sz w:val="14"/>
        <w:szCs w:val="14"/>
      </w:rPr>
      <w:t xml:space="preserve">NIHA-ACR-2025-001 | Board Confidential | Page </w:t>
    </w:r>
    <w:r>
      <w:rPr>
        <w:rFonts w:ascii="Times New Roman" w:cs="Times New Roman" w:eastAsia="Times New Roman" w:hAnsi="Times New Roman"/>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2" w:space="4"/>
      </w:pBdr>
      <w:spacing w:after="100"/>
      <w:jc w:val="left"/>
    </w:pPr>
    <w:r>
      <w:rPr>
        <w:rFonts w:ascii="Times New Roman" w:cs="Times New Roman" w:eastAsia="Times New Roman" w:hAnsi="Times New Roman"/>
        <w:b/>
        <w:bCs/>
        <w:color w:val="1B2A4A"/>
        <w:sz w:val="18"/>
        <w:szCs w:val="18"/>
      </w:rPr>
      <w:t xml:space="preserve">ITALY NIHAO GROUP LIMITED</w:t>
    </w:r>
    <w:r>
      <w:rPr>
        <w:rFonts w:ascii="Times New Roman" w:cs="Times New Roman" w:eastAsia="Times New Roman" w:hAnsi="Times New Roman"/>
        <w:color w:val="666666"/>
        <w:sz w:val="16"/>
        <w:szCs w:val="16"/>
      </w:rPr>
      <w:t xml:space="preserve"> | ANNUAL COMPLIANCE REPORT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2026-02-20T15:56:14.727Z</dcterms:created>
  <dcterms:modified xsi:type="dcterms:W3CDTF">2026-02-20T15:56:14.727Z</dcterms:modified>
</cp:coreProperties>
</file>

<file path=docProps/custom.xml><?xml version="1.0" encoding="utf-8"?>
<Properties xmlns="http://schemas.openxmlformats.org/officeDocument/2006/custom-properties" xmlns:vt="http://schemas.openxmlformats.org/officeDocument/2006/docPropsVTypes"/>
</file>