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imes New Roman" w:cs="Times New Roman" w:eastAsia="Times New Roman" w:hAnsi="Times New Roman"/>
          <w:b/>
          <w:bCs/>
          <w:color w:val="1B2A4A"/>
          <w:sz w:val="32"/>
          <w:szCs w:val="32"/>
        </w:rPr>
        <w:t xml:space="preserve">ITALY NIHAO GROUP LIMITED</w:t>
      </w:r>
    </w:p>
    <w:p>
      <w:pPr>
        <w:spacing w:after="200"/>
        <w:jc w:val="center"/>
      </w:pPr>
      <w:r>
        <w:rPr>
          <w:rFonts w:ascii="Times New Roman" w:cs="Times New Roman" w:eastAsia="Times New Roman" w:hAnsi="Times New Roman"/>
          <w:color w:val="666666"/>
          <w:sz w:val="20"/>
          <w:szCs w:val="20"/>
        </w:rPr>
        <w:t xml:space="preserve">Incorporated in Hong Kong SAR</w:t>
      </w:r>
    </w:p>
    <w:p>
      <w:pPr>
        <w:pBdr>
          <w:top w:val="single" w:color="1B2A4A" w:sz="2" w:space="12"/>
          <w:bottom w:val="single" w:color="1B2A4A" w:sz="2" w:space="12"/>
        </w:pBdr>
        <w:spacing w:before="600"/>
        <w:jc w:val="center"/>
      </w:pPr>
      <w:r>
        <w:rPr>
          <w:rFonts w:ascii="Times New Roman" w:cs="Times New Roman" w:eastAsia="Times New Roman" w:hAnsi="Times New Roman"/>
          <w:b/>
          <w:bCs/>
          <w:color w:val="1B2A4A"/>
          <w:sz w:val="36"/>
          <w:szCs w:val="36"/>
        </w:rPr>
        <w:t xml:space="preserve">BUSINESS CONTINUITY PLAN</w:t>
      </w:r>
      <w:r>
        <w:rPr>
          <w:rFonts w:ascii="Times New Roman" w:cs="Times New Roman" w:eastAsia="Times New Roman" w:hAnsi="Times New Roman"/>
          <w:color w:val="2E75B6"/>
          <w:sz w:val="24"/>
          <w:szCs w:val="24"/>
        </w:rPr>
        <w:br/>
        <w:t xml:space="preserve">
Operational Resilience and Disaster Recovery Framework</w:t>
      </w:r>
    </w:p>
    <w:p>
      <w:pPr>
        <w:spacing w:before="600"/>
        <w:jc w:val="center"/>
      </w:pPr>
      <w:r>
        <w:rPr>
          <w:rFonts w:ascii="Times New Roman" w:cs="Times New Roman" w:eastAsia="Times New Roman" w:hAnsi="Times New Roman"/>
          <w:b/>
          <w:bCs/>
          <w:color w:val="CC0000"/>
          <w:sz w:val="26"/>
          <w:szCs w:val="26"/>
        </w:rPr>
        <w:t xml:space="preserve">STRICTLY CONFIDENTIAL</w:t>
      </w:r>
    </w:p>
    <w:p>
      <w:pPr>
        <w:spacing w:before="800"/>
        <w:jc w:val="center"/>
      </w:pPr>
      <w:r>
        <w:rPr>
          <w:rFonts w:ascii="Times New Roman" w:cs="Times New Roman" w:eastAsia="Times New Roman" w:hAnsi="Times New Roman"/>
          <w:color w:val="666666"/>
          <w:sz w:val="20"/>
          <w:szCs w:val="20"/>
        </w:rPr>
        <w:t xml:space="preserve">Policy Reference: NIHA-BCP-2026-001</w:t>
      </w:r>
      <w:r>
        <w:rPr>
          <w:rFonts w:ascii="Times New Roman" w:cs="Times New Roman" w:eastAsia="Times New Roman" w:hAnsi="Times New Roman"/>
          <w:color w:val="666666"/>
          <w:sz w:val="20"/>
          <w:szCs w:val="20"/>
        </w:rPr>
        <w:br/>
        <w:t xml:space="preserve">
Version 1.0 — February 2026</w:t>
      </w:r>
      <w:r>
        <w:rPr>
          <w:rFonts w:ascii="Times New Roman" w:cs="Times New Roman" w:eastAsia="Times New Roman" w:hAnsi="Times New Roman"/>
          <w:color w:val="666666"/>
          <w:sz w:val="20"/>
          <w:szCs w:val="20"/>
        </w:rPr>
        <w:br/>
        <w:t xml:space="preserve">
Classification: Internal / Client (Executive Summary only)</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5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Author</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Feb 2026</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Chief Operating Officer</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Initial BCP document</w:t>
            </w:r>
          </w:p>
        </w:tc>
      </w:tr>
    </w:tbl>
    <w:p>
      <w:pPr>
        <w:spacing w:before="200"/>
      </w:pPr>
    </w:p>
    <w:p>
      <w:pPr>
        <w:spacing w:after="140"/>
      </w:pPr>
      <w:r>
        <w:rPr>
          <w:rFonts w:ascii="Times New Roman" w:cs="Times New Roman" w:eastAsia="Times New Roman" w:hAnsi="Times New Roman"/>
          <w:b/>
          <w:bCs/>
          <w:color w:val="333333"/>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Signature &amp; Date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Managing Director</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 </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Compliance Officer</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 </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IT Manager</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 </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 </w:t>
            </w:r>
          </w:p>
        </w:tc>
      </w:tr>
    </w:tbl>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1. EXECUTIVE SUMMARY</w:t>
      </w:r>
    </w:p>
    <w:p>
      <w:pPr>
        <w:spacing w:after="140"/>
      </w:pPr>
      <w:r>
        <w:rPr>
          <w:rFonts w:ascii="Times New Roman" w:cs="Times New Roman" w:eastAsia="Times New Roman" w:hAnsi="Times New Roman"/>
          <w:color w:val="333333"/>
          <w:sz w:val="22"/>
          <w:szCs w:val="22"/>
        </w:rPr>
        <w:t xml:space="preserve">This Business Continuity Plan (“BCP”) establishes the procedures, responsibilities, and recovery strategies to ensure that Italy Nihao Group Limited (“NIHA”) can continue to operate its critical business functions in the event of a disruption, disaster, or emergency. This Plan covers all aspects of NIHA’s carbon credit trading, custody, conversion, and client service operations.</w:t>
      </w:r>
    </w:p>
    <w:p>
      <w:pPr>
        <w:spacing w:after="140"/>
      </w:pPr>
      <w:r>
        <w:rPr>
          <w:rFonts w:ascii="Times New Roman" w:cs="Times New Roman" w:eastAsia="Times New Roman" w:hAnsi="Times New Roman"/>
          <w:color w:val="333333"/>
          <w:sz w:val="22"/>
          <w:szCs w:val="22"/>
        </w:rPr>
        <w:t xml:space="preserve">NIHA recognises that uninterrupted service to its clients is essential, particularly given the time-sensitive nature of carbon credit trading and the cross-border dimension of its operations. This BCP is designed to minimise downtime, protect client assets, and maintain regulatory compliance during adverse events.</w:t>
      </w:r>
    </w:p>
    <w:p>
      <w:pPr>
        <w:spacing w:before="280" w:after="160"/>
      </w:pPr>
      <w:r>
        <w:rPr>
          <w:rFonts w:ascii="Times New Roman" w:cs="Times New Roman" w:eastAsia="Times New Roman" w:hAnsi="Times New Roman"/>
          <w:b/>
          <w:bCs/>
          <w:color w:val="2E75B6"/>
          <w:sz w:val="24"/>
          <w:szCs w:val="24"/>
        </w:rPr>
        <w:t xml:space="preserve">1.1 </w:t>
      </w:r>
      <w:r>
        <w:rPr>
          <w:rFonts w:ascii="Times New Roman" w:cs="Times New Roman" w:eastAsia="Times New Roman" w:hAnsi="Times New Roman"/>
          <w:b/>
          <w:bCs/>
          <w:color w:val="2E75B6"/>
          <w:sz w:val="24"/>
          <w:szCs w:val="24"/>
        </w:rPr>
        <w:t xml:space="preserve">Key 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Maximum Acceptable</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Recovery Time Objective (RTO)</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4 hours</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24 hours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Recovery Point Objective (RPO)</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 hour</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4 hours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Maximum Tolerable Downtime (MTD)</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48 hours</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72 hours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Service Level (during disruption)</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Core services only</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Core + secondary within 48h</w:t>
            </w:r>
          </w:p>
        </w:tc>
      </w:tr>
    </w:tbl>
    <w:p>
      <w:pPr>
        <w:pBdr>
          <w:bottom w:val="single" w:color="1B2A4A" w:sz="2" w:space="6"/>
        </w:pBdr>
        <w:spacing w:before="400" w:after="240"/>
      </w:pPr>
      <w:r>
        <w:rPr>
          <w:rFonts w:ascii="Times New Roman" w:cs="Times New Roman" w:eastAsia="Times New Roman" w:hAnsi="Times New Roman"/>
          <w:b/>
          <w:bCs/>
          <w:color w:val="1B2A4A"/>
          <w:sz w:val="28"/>
          <w:szCs w:val="28"/>
        </w:rPr>
        <w:t xml:space="preserve">2. RISK ASSESSMENT AND SCENARIO ANALYSIS</w:t>
      </w:r>
    </w:p>
    <w:p>
      <w:pPr>
        <w:spacing w:after="140"/>
      </w:pPr>
      <w:r>
        <w:rPr>
          <w:rFonts w:ascii="Times New Roman" w:cs="Times New Roman" w:eastAsia="Times New Roman" w:hAnsi="Times New Roman"/>
          <w:color w:val="333333"/>
          <w:sz w:val="22"/>
          <w:szCs w:val="22"/>
        </w:rPr>
        <w:t xml:space="preserve">NIHA has identified the following categories of disruptive events and assessed their impact on business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Probability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Impact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Priority</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Recovery</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IT System Failure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4 hours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Cyber Attack / Data Breach</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4 hours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Power / Network Outage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8 hours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Key Person Unavailability</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24 hours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Registry Outage (3rd party)</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Dependent on registry</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Natural Disaster (HK)</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48 hours (DR site)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Pandemic / Public Health</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Immediate (remote)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Regulatory Suspension</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Very Low</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As per regulator</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Counterparty Default</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Immediate (hedging)</w:t>
            </w:r>
          </w:p>
        </w:tc>
      </w:tr>
    </w:tbl>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3. CRITICAL BUSINESS FUNCTIONS</w:t>
      </w:r>
    </w:p>
    <w:p>
      <w:pPr>
        <w:spacing w:after="140"/>
      </w:pPr>
      <w:r>
        <w:rPr>
          <w:rFonts w:ascii="Times New Roman" w:cs="Times New Roman" w:eastAsia="Times New Roman" w:hAnsi="Times New Roman"/>
          <w:color w:val="333333"/>
          <w:sz w:val="22"/>
          <w:szCs w:val="22"/>
        </w:rPr>
        <w:t xml:space="preserve">The following business functions have been classified by priority for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Function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RTO</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Responsible</w:t>
            </w:r>
          </w:p>
        </w:tc>
      </w:tr>
      <w:tr>
        <w:tc>
          <w:tcPr>
            <w:tcW w:type="dxa" w:w="28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Client Fund Safeguarding</w:t>
            </w:r>
          </w:p>
        </w:tc>
        <w:tc>
          <w:tcPr>
            <w:tcW w:type="dxa" w:w="16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Critical</w:t>
            </w:r>
          </w:p>
        </w:tc>
        <w:tc>
          <w:tcPr>
            <w:tcW w:type="dxa" w:w="24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0h (always on)</w:t>
            </w:r>
          </w:p>
        </w:tc>
        <w:tc>
          <w:tcPr>
            <w:tcW w:type="dxa" w:w="25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CFO / Treasury</w:t>
            </w:r>
          </w:p>
        </w:tc>
      </w:tr>
      <w:tr>
        <w:tc>
          <w:tcPr>
            <w:tcW w:type="dxa" w:w="28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Carbon Credit Custody</w:t>
            </w:r>
          </w:p>
        </w:tc>
        <w:tc>
          <w:tcPr>
            <w:tcW w:type="dxa" w:w="16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Critical</w:t>
            </w:r>
          </w:p>
        </w:tc>
        <w:tc>
          <w:tcPr>
            <w:tcW w:type="dxa" w:w="24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0h (always on)</w:t>
            </w:r>
          </w:p>
        </w:tc>
        <w:tc>
          <w:tcPr>
            <w:tcW w:type="dxa" w:w="25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Operations Manager</w:t>
            </w:r>
          </w:p>
        </w:tc>
      </w:tr>
      <w:tr>
        <w:tc>
          <w:tcPr>
            <w:tcW w:type="dxa" w:w="28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Trade Execution</w:t>
            </w:r>
          </w:p>
        </w:tc>
        <w:tc>
          <w:tcPr>
            <w:tcW w:type="dxa" w:w="16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Critical</w:t>
            </w:r>
          </w:p>
        </w:tc>
        <w:tc>
          <w:tcPr>
            <w:tcW w:type="dxa" w:w="24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4 hours</w:t>
            </w:r>
          </w:p>
        </w:tc>
        <w:tc>
          <w:tcPr>
            <w:tcW w:type="dxa" w:w="25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Head of Trading</w:t>
            </w:r>
          </w:p>
        </w:tc>
      </w:tr>
      <w:tr>
        <w:tc>
          <w:tcPr>
            <w:tcW w:type="dxa" w:w="28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Settlement Processing</w:t>
            </w:r>
          </w:p>
        </w:tc>
        <w:tc>
          <w:tcPr>
            <w:tcW w:type="dxa" w:w="16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Critical</w:t>
            </w:r>
          </w:p>
        </w:tc>
        <w:tc>
          <w:tcPr>
            <w:tcW w:type="dxa" w:w="24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4 hours</w:t>
            </w:r>
          </w:p>
        </w:tc>
        <w:tc>
          <w:tcPr>
            <w:tcW w:type="dxa" w:w="25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Operations Manager</w:t>
            </w:r>
          </w:p>
        </w:tc>
      </w:tr>
      <w:tr>
        <w:tc>
          <w:tcPr>
            <w:tcW w:type="dxa" w:w="28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Client Communication</w:t>
            </w:r>
          </w:p>
        </w:tc>
        <w:tc>
          <w:tcPr>
            <w:tcW w:type="dxa" w:w="16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Critical</w:t>
            </w:r>
          </w:p>
        </w:tc>
        <w:tc>
          <w:tcPr>
            <w:tcW w:type="dxa" w:w="24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1 hour</w:t>
            </w:r>
          </w:p>
        </w:tc>
        <w:tc>
          <w:tcPr>
            <w:tcW w:type="dxa" w:w="25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Client Services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Compliance Monitoring</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8 hours</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Compliance Officer</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Regulatory Reporting</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24 hours</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Compliance Officer</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Financial Reporting</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48 hours</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CFO</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Market Intelligence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72 hours</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Research</w:t>
            </w:r>
          </w:p>
        </w:tc>
      </w:tr>
    </w:tbl>
    <w:p>
      <w:pPr>
        <w:pBdr>
          <w:bottom w:val="single" w:color="1B2A4A" w:sz="2" w:space="6"/>
        </w:pBdr>
        <w:spacing w:before="400" w:after="240"/>
      </w:pPr>
      <w:r>
        <w:rPr>
          <w:rFonts w:ascii="Times New Roman" w:cs="Times New Roman" w:eastAsia="Times New Roman" w:hAnsi="Times New Roman"/>
          <w:b/>
          <w:bCs/>
          <w:color w:val="1B2A4A"/>
          <w:sz w:val="28"/>
          <w:szCs w:val="28"/>
        </w:rPr>
        <w:t xml:space="preserve">4. RECOVERY STRATEGIES</w:t>
      </w:r>
    </w:p>
    <w:p>
      <w:pPr>
        <w:spacing w:before="280" w:after="160"/>
      </w:pPr>
      <w:r>
        <w:rPr>
          <w:rFonts w:ascii="Times New Roman" w:cs="Times New Roman" w:eastAsia="Times New Roman" w:hAnsi="Times New Roman"/>
          <w:b/>
          <w:bCs/>
          <w:color w:val="2E75B6"/>
          <w:sz w:val="24"/>
          <w:szCs w:val="24"/>
        </w:rPr>
        <w:t xml:space="preserve">4.1 </w:t>
      </w:r>
      <w:r>
        <w:rPr>
          <w:rFonts w:ascii="Times New Roman" w:cs="Times New Roman" w:eastAsia="Times New Roman" w:hAnsi="Times New Roman"/>
          <w:b/>
          <w:bCs/>
          <w:color w:val="2E75B6"/>
          <w:sz w:val="24"/>
          <w:szCs w:val="24"/>
        </w:rPr>
        <w:t xml:space="preserve">Technology Recovery</w:t>
      </w:r>
    </w:p>
    <w:p>
      <w:pPr>
        <w:pStyle w:val="ListParagraph"/>
        <w:numPr>
          <w:ilvl w:val="0"/>
          <w:numId w:val="2"/>
        </w:numPr>
        <w:spacing w:after="120"/>
      </w:pPr>
      <w:r>
        <w:rPr>
          <w:rFonts w:ascii="Times New Roman" w:cs="Times New Roman" w:eastAsia="Times New Roman" w:hAnsi="Times New Roman"/>
          <w:color w:val="333333"/>
          <w:sz w:val="22"/>
          <w:szCs w:val="22"/>
        </w:rPr>
        <w:t xml:space="preserve">Primary Systems: NIHA’s trading platform, client portal, and core databases are hosted on redundant cloud infrastructure with automatic failover across geographically separated data centres (Hong Kong primary, Singapore secondary).</w:t>
      </w:r>
    </w:p>
    <w:p>
      <w:pPr>
        <w:pStyle w:val="ListParagraph"/>
        <w:numPr>
          <w:ilvl w:val="0"/>
          <w:numId w:val="2"/>
        </w:numPr>
        <w:spacing w:after="120"/>
      </w:pPr>
      <w:r>
        <w:rPr>
          <w:rFonts w:ascii="Times New Roman" w:cs="Times New Roman" w:eastAsia="Times New Roman" w:hAnsi="Times New Roman"/>
          <w:color w:val="333333"/>
          <w:sz w:val="22"/>
          <w:szCs w:val="22"/>
        </w:rPr>
        <w:t xml:space="preserve">Data Backup: Continuous real-time replication to the disaster recovery (DR) site. Incremental backups every 15 minutes. Full backups daily at 02:00 HKT, retained for 90 days.</w:t>
      </w:r>
    </w:p>
    <w:p>
      <w:pPr>
        <w:pStyle w:val="ListParagraph"/>
        <w:numPr>
          <w:ilvl w:val="0"/>
          <w:numId w:val="2"/>
        </w:numPr>
        <w:spacing w:after="120"/>
      </w:pPr>
      <w:r>
        <w:rPr>
          <w:rFonts w:ascii="Times New Roman" w:cs="Times New Roman" w:eastAsia="Times New Roman" w:hAnsi="Times New Roman"/>
          <w:color w:val="333333"/>
          <w:sz w:val="22"/>
          <w:szCs w:val="22"/>
        </w:rPr>
        <w:t xml:space="preserve">Database Recovery: Point-in-time recovery capability to within 1 hour of any point in the preceding 30 days.</w:t>
      </w:r>
    </w:p>
    <w:p>
      <w:pPr>
        <w:pStyle w:val="ListParagraph"/>
        <w:numPr>
          <w:ilvl w:val="0"/>
          <w:numId w:val="2"/>
        </w:numPr>
        <w:spacing w:after="120"/>
      </w:pPr>
      <w:r>
        <w:rPr>
          <w:rFonts w:ascii="Times New Roman" w:cs="Times New Roman" w:eastAsia="Times New Roman" w:hAnsi="Times New Roman"/>
          <w:color w:val="333333"/>
          <w:sz w:val="22"/>
          <w:szCs w:val="22"/>
        </w:rPr>
        <w:t xml:space="preserve">Communication Systems: Failover to backup email, telephony, and instant messaging systems within 1 hour. Satellite communication available for critical escalations.</w:t>
      </w:r>
    </w:p>
    <w:p>
      <w:pPr>
        <w:spacing w:before="280" w:after="160"/>
      </w:pPr>
      <w:r>
        <w:rPr>
          <w:rFonts w:ascii="Times New Roman" w:cs="Times New Roman" w:eastAsia="Times New Roman" w:hAnsi="Times New Roman"/>
          <w:b/>
          <w:bCs/>
          <w:color w:val="2E75B6"/>
          <w:sz w:val="24"/>
          <w:szCs w:val="24"/>
        </w:rPr>
        <w:t xml:space="preserve">4.2 </w:t>
      </w:r>
      <w:r>
        <w:rPr>
          <w:rFonts w:ascii="Times New Roman" w:cs="Times New Roman" w:eastAsia="Times New Roman" w:hAnsi="Times New Roman"/>
          <w:b/>
          <w:bCs/>
          <w:color w:val="2E75B6"/>
          <w:sz w:val="24"/>
          <w:szCs w:val="24"/>
        </w:rPr>
        <w:t xml:space="preserve">Operational Recovery</w:t>
      </w:r>
    </w:p>
    <w:p>
      <w:pPr>
        <w:pStyle w:val="ListParagraph"/>
        <w:numPr>
          <w:ilvl w:val="0"/>
          <w:numId w:val="2"/>
        </w:numPr>
        <w:spacing w:after="120"/>
      </w:pPr>
      <w:r>
        <w:rPr>
          <w:rFonts w:ascii="Times New Roman" w:cs="Times New Roman" w:eastAsia="Times New Roman" w:hAnsi="Times New Roman"/>
          <w:color w:val="333333"/>
          <w:sz w:val="22"/>
          <w:szCs w:val="22"/>
        </w:rPr>
        <w:t xml:space="preserve">Remote Working: All staff are equipped with secure remote access capability. Trading, compliance, and client service functions can operate fully remotely within 2 hours of activation.</w:t>
      </w:r>
    </w:p>
    <w:p>
      <w:pPr>
        <w:pStyle w:val="ListParagraph"/>
        <w:numPr>
          <w:ilvl w:val="0"/>
          <w:numId w:val="2"/>
        </w:numPr>
        <w:spacing w:after="120"/>
      </w:pPr>
      <w:r>
        <w:rPr>
          <w:rFonts w:ascii="Times New Roman" w:cs="Times New Roman" w:eastAsia="Times New Roman" w:hAnsi="Times New Roman"/>
          <w:color w:val="333333"/>
          <w:sz w:val="22"/>
          <w:szCs w:val="22"/>
        </w:rPr>
        <w:t xml:space="preserve">Alternative Premises: Agreement with [co-working provider] for emergency office space in Kowloon, activated within 4 hours. Second DR site in Singapore available within 24 hours.</w:t>
      </w:r>
    </w:p>
    <w:p>
      <w:pPr>
        <w:pStyle w:val="ListParagraph"/>
        <w:numPr>
          <w:ilvl w:val="0"/>
          <w:numId w:val="2"/>
        </w:numPr>
        <w:spacing w:after="120"/>
      </w:pPr>
      <w:r>
        <w:rPr>
          <w:rFonts w:ascii="Times New Roman" w:cs="Times New Roman" w:eastAsia="Times New Roman" w:hAnsi="Times New Roman"/>
          <w:color w:val="333333"/>
          <w:sz w:val="22"/>
          <w:szCs w:val="22"/>
        </w:rPr>
        <w:t xml:space="preserve">Manual Processes: Documented manual fallback procedures for trade execution (via telephone and encrypted email), settlement (manual registry transfers), and client communication.</w:t>
      </w:r>
    </w:p>
    <w:p>
      <w:pPr>
        <w:spacing w:before="280" w:after="160"/>
      </w:pPr>
      <w:r>
        <w:rPr>
          <w:rFonts w:ascii="Times New Roman" w:cs="Times New Roman" w:eastAsia="Times New Roman" w:hAnsi="Times New Roman"/>
          <w:b/>
          <w:bCs/>
          <w:color w:val="2E75B6"/>
          <w:sz w:val="24"/>
          <w:szCs w:val="24"/>
        </w:rPr>
        <w:t xml:space="preserve">4.3 </w:t>
      </w:r>
      <w:r>
        <w:rPr>
          <w:rFonts w:ascii="Times New Roman" w:cs="Times New Roman" w:eastAsia="Times New Roman" w:hAnsi="Times New Roman"/>
          <w:b/>
          <w:bCs/>
          <w:color w:val="2E75B6"/>
          <w:sz w:val="24"/>
          <w:szCs w:val="24"/>
        </w:rPr>
        <w:t xml:space="preserve">Key Person Risk Mitigation</w:t>
      </w:r>
    </w:p>
    <w:p>
      <w:pPr>
        <w:pStyle w:val="ListParagraph"/>
        <w:numPr>
          <w:ilvl w:val="0"/>
          <w:numId w:val="2"/>
        </w:numPr>
        <w:spacing w:after="120"/>
      </w:pPr>
      <w:r>
        <w:rPr>
          <w:rFonts w:ascii="Times New Roman" w:cs="Times New Roman" w:eastAsia="Times New Roman" w:hAnsi="Times New Roman"/>
          <w:color w:val="333333"/>
          <w:sz w:val="22"/>
          <w:szCs w:val="22"/>
        </w:rPr>
        <w:t xml:space="preserve">Cross-Training: All critical functions have at least two trained individuals. Trading desk, compliance, and treasury operations have minimum three-person coverage.</w:t>
      </w:r>
    </w:p>
    <w:p>
      <w:pPr>
        <w:pStyle w:val="ListParagraph"/>
        <w:numPr>
          <w:ilvl w:val="0"/>
          <w:numId w:val="2"/>
        </w:numPr>
        <w:spacing w:after="120"/>
      </w:pPr>
      <w:r>
        <w:rPr>
          <w:rFonts w:ascii="Times New Roman" w:cs="Times New Roman" w:eastAsia="Times New Roman" w:hAnsi="Times New Roman"/>
          <w:color w:val="333333"/>
          <w:sz w:val="22"/>
          <w:szCs w:val="22"/>
        </w:rPr>
        <w:t xml:space="preserve">Succession Planning: Documented succession plan for Managing Director, Compliance Officer, and Head of Trading, with pre-approved delegated authorities.</w:t>
      </w:r>
    </w:p>
    <w:p>
      <w:pPr>
        <w:pStyle w:val="ListParagraph"/>
        <w:numPr>
          <w:ilvl w:val="0"/>
          <w:numId w:val="2"/>
        </w:numPr>
        <w:spacing w:after="120"/>
      </w:pPr>
      <w:r>
        <w:rPr>
          <w:rFonts w:ascii="Times New Roman" w:cs="Times New Roman" w:eastAsia="Times New Roman" w:hAnsi="Times New Roman"/>
          <w:color w:val="333333"/>
          <w:sz w:val="22"/>
          <w:szCs w:val="22"/>
        </w:rPr>
        <w:t xml:space="preserve">External Support: Retained external counsel (legal), external auditor (compliance), and IT managed services provider available on 4-hour response SLA.</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5. INCIDENT RESPONSE PROCEDURES</w:t>
      </w:r>
    </w:p>
    <w:p>
      <w:pPr>
        <w:spacing w:before="280" w:after="160"/>
      </w:pPr>
      <w:r>
        <w:rPr>
          <w:rFonts w:ascii="Times New Roman" w:cs="Times New Roman" w:eastAsia="Times New Roman" w:hAnsi="Times New Roman"/>
          <w:b/>
          <w:bCs/>
          <w:color w:val="2E75B6"/>
          <w:sz w:val="24"/>
          <w:szCs w:val="24"/>
        </w:rPr>
        <w:t xml:space="preserve">5.1 </w:t>
      </w:r>
      <w:r>
        <w:rPr>
          <w:rFonts w:ascii="Times New Roman" w:cs="Times New Roman" w:eastAsia="Times New Roman" w:hAnsi="Times New Roman"/>
          <w:b/>
          <w:bCs/>
          <w:color w:val="2E75B6"/>
          <w:sz w:val="24"/>
          <w:szCs w:val="24"/>
        </w:rPr>
        <w:t xml:space="preserve">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Response Time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Escalation</w:t>
            </w:r>
          </w:p>
        </w:tc>
      </w:tr>
      <w:tr>
        <w:tc>
          <w:tcPr>
            <w:tcW w:type="dxa" w:w="18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P1 – Critical</w:t>
            </w:r>
          </w:p>
        </w:tc>
        <w:tc>
          <w:tcPr>
            <w:tcW w:type="dxa" w:w="32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Complete loss of trading or custody capability</w:t>
            </w:r>
          </w:p>
        </w:tc>
        <w:tc>
          <w:tcPr>
            <w:tcW w:type="dxa" w:w="22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Immediate</w:t>
            </w:r>
          </w:p>
        </w:tc>
        <w:tc>
          <w:tcPr>
            <w:tcW w:type="dxa" w:w="21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MD + Board</w:t>
            </w:r>
          </w:p>
        </w:tc>
      </w:tr>
      <w:tr>
        <w:tc>
          <w:tcPr>
            <w:tcW w:type="dxa" w:w="18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P2 – Major</w:t>
            </w:r>
          </w:p>
        </w:tc>
        <w:tc>
          <w:tcPr>
            <w:tcW w:type="dxa" w:w="32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Significant degradation of core services</w:t>
            </w:r>
          </w:p>
        </w:tc>
        <w:tc>
          <w:tcPr>
            <w:tcW w:type="dxa" w:w="22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30 minutes</w:t>
            </w:r>
          </w:p>
        </w:tc>
        <w:tc>
          <w:tcPr>
            <w:tcW w:type="dxa" w:w="21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MD + CO</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P3 – Moderate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Partial impact on non-core services</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2 hours</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Department Head</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P4 – Minor</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Minimal impact, workaround available</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4 hours</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Team Lead</w:t>
            </w:r>
          </w:p>
        </w:tc>
      </w:tr>
    </w:tbl>
    <w:p>
      <w:pPr>
        <w:spacing w:before="280" w:after="160"/>
      </w:pPr>
      <w:r>
        <w:rPr>
          <w:rFonts w:ascii="Times New Roman" w:cs="Times New Roman" w:eastAsia="Times New Roman" w:hAnsi="Times New Roman"/>
          <w:b/>
          <w:bCs/>
          <w:color w:val="2E75B6"/>
          <w:sz w:val="24"/>
          <w:szCs w:val="24"/>
        </w:rPr>
        <w:t xml:space="preserve">5.2 </w:t>
      </w:r>
      <w:r>
        <w:rPr>
          <w:rFonts w:ascii="Times New Roman" w:cs="Times New Roman" w:eastAsia="Times New Roman" w:hAnsi="Times New Roman"/>
          <w:b/>
          <w:bCs/>
          <w:color w:val="2E75B6"/>
          <w:sz w:val="24"/>
          <w:szCs w:val="24"/>
        </w:rPr>
        <w:t xml:space="preserve">Escalation Matrix</w:t>
      </w:r>
    </w:p>
    <w:p>
      <w:pPr>
        <w:spacing w:after="140"/>
      </w:pPr>
      <w:r>
        <w:rPr>
          <w:rFonts w:ascii="Times New Roman" w:cs="Times New Roman" w:eastAsia="Times New Roman" w:hAnsi="Times New Roman"/>
          <w:color w:val="333333"/>
          <w:sz w:val="22"/>
          <w:szCs w:val="22"/>
        </w:rPr>
        <w:t xml:space="preserve">The following escalation chain applies to all P1 and P2 incidents:</w:t>
      </w:r>
    </w:p>
    <w:p>
      <w:pPr>
        <w:pStyle w:val="ListParagraph"/>
        <w:numPr>
          <w:ilvl w:val="0"/>
          <w:numId w:val="2"/>
        </w:numPr>
        <w:spacing w:after="120"/>
      </w:pPr>
      <w:r>
        <w:rPr>
          <w:rFonts w:ascii="Times New Roman" w:cs="Times New Roman" w:eastAsia="Times New Roman" w:hAnsi="Times New Roman"/>
          <w:color w:val="333333"/>
          <w:sz w:val="22"/>
          <w:szCs w:val="22"/>
        </w:rPr>
        <w:t xml:space="preserve">T+0: Incident detected and logged. Duty Manager notified.</w:t>
      </w:r>
    </w:p>
    <w:p>
      <w:pPr>
        <w:pStyle w:val="ListParagraph"/>
        <w:numPr>
          <w:ilvl w:val="0"/>
          <w:numId w:val="2"/>
        </w:numPr>
        <w:spacing w:after="120"/>
      </w:pPr>
      <w:r>
        <w:rPr>
          <w:rFonts w:ascii="Times New Roman" w:cs="Times New Roman" w:eastAsia="Times New Roman" w:hAnsi="Times New Roman"/>
          <w:color w:val="333333"/>
          <w:sz w:val="22"/>
          <w:szCs w:val="22"/>
        </w:rPr>
        <w:t xml:space="preserve">T+15min: Compliance Officer and Head of Trading notified. Preliminary assessment completed.</w:t>
      </w:r>
    </w:p>
    <w:p>
      <w:pPr>
        <w:pStyle w:val="ListParagraph"/>
        <w:numPr>
          <w:ilvl w:val="0"/>
          <w:numId w:val="2"/>
        </w:numPr>
        <w:spacing w:after="120"/>
      </w:pPr>
      <w:r>
        <w:rPr>
          <w:rFonts w:ascii="Times New Roman" w:cs="Times New Roman" w:eastAsia="Times New Roman" w:hAnsi="Times New Roman"/>
          <w:color w:val="333333"/>
          <w:sz w:val="22"/>
          <w:szCs w:val="22"/>
        </w:rPr>
        <w:t xml:space="preserve">T+30min: Managing Director notified. Crisis Management Team activated if P1.</w:t>
      </w:r>
    </w:p>
    <w:p>
      <w:pPr>
        <w:pStyle w:val="ListParagraph"/>
        <w:numPr>
          <w:ilvl w:val="0"/>
          <w:numId w:val="2"/>
        </w:numPr>
        <w:spacing w:after="120"/>
      </w:pPr>
      <w:r>
        <w:rPr>
          <w:rFonts w:ascii="Times New Roman" w:cs="Times New Roman" w:eastAsia="Times New Roman" w:hAnsi="Times New Roman"/>
          <w:color w:val="333333"/>
          <w:sz w:val="22"/>
          <w:szCs w:val="22"/>
        </w:rPr>
        <w:t xml:space="preserve">T+1h: Client communication prepared and distributed (for P1 incidents affecting client services).</w:t>
      </w:r>
    </w:p>
    <w:p>
      <w:pPr>
        <w:pStyle w:val="ListParagraph"/>
        <w:numPr>
          <w:ilvl w:val="0"/>
          <w:numId w:val="2"/>
        </w:numPr>
        <w:spacing w:after="120"/>
      </w:pPr>
      <w:r>
        <w:rPr>
          <w:rFonts w:ascii="Times New Roman" w:cs="Times New Roman" w:eastAsia="Times New Roman" w:hAnsi="Times New Roman"/>
          <w:color w:val="333333"/>
          <w:sz w:val="22"/>
          <w:szCs w:val="22"/>
        </w:rPr>
        <w:t xml:space="preserve">T+4h: Board of Directors briefed (P1 incidents). Interim recovery status report prepared.</w:t>
      </w:r>
    </w:p>
    <w:p>
      <w:pPr>
        <w:pStyle w:val="ListParagraph"/>
        <w:numPr>
          <w:ilvl w:val="0"/>
          <w:numId w:val="2"/>
        </w:numPr>
        <w:spacing w:after="120"/>
      </w:pPr>
      <w:r>
        <w:rPr>
          <w:rFonts w:ascii="Times New Roman" w:cs="Times New Roman" w:eastAsia="Times New Roman" w:hAnsi="Times New Roman"/>
          <w:color w:val="333333"/>
          <w:sz w:val="22"/>
          <w:szCs w:val="22"/>
        </w:rPr>
        <w:t xml:space="preserve">T+24h: Full incident report completed. Corrective actions identified and assigned.</w:t>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6. CLIENT COMMUNICATION DURING DISRUPTION</w:t>
      </w:r>
    </w:p>
    <w:p>
      <w:pPr>
        <w:spacing w:after="140"/>
      </w:pPr>
      <w:r>
        <w:rPr>
          <w:rFonts w:ascii="Times New Roman" w:cs="Times New Roman" w:eastAsia="Times New Roman" w:hAnsi="Times New Roman"/>
          <w:color w:val="333333"/>
          <w:sz w:val="22"/>
          <w:szCs w:val="22"/>
        </w:rPr>
        <w:t xml:space="preserve">NIHA is committed to transparent communication with clients during service disruptions:</w:t>
      </w:r>
    </w:p>
    <w:p>
      <w:pPr>
        <w:pStyle w:val="ListParagraph"/>
        <w:numPr>
          <w:ilvl w:val="0"/>
          <w:numId w:val="2"/>
        </w:numPr>
        <w:spacing w:after="120"/>
      </w:pPr>
      <w:r>
        <w:rPr>
          <w:rFonts w:ascii="Times New Roman" w:cs="Times New Roman" w:eastAsia="Times New Roman" w:hAnsi="Times New Roman"/>
          <w:color w:val="333333"/>
          <w:sz w:val="22"/>
          <w:szCs w:val="22"/>
        </w:rPr>
        <w:t xml:space="preserve">Initial Notification: Within 1 hour of a P1 or P2 incident being confirmed, a notification will be sent to all affected clients via email and platform notification.</w:t>
      </w:r>
    </w:p>
    <w:p>
      <w:pPr>
        <w:pStyle w:val="ListParagraph"/>
        <w:numPr>
          <w:ilvl w:val="0"/>
          <w:numId w:val="2"/>
        </w:numPr>
        <w:spacing w:after="120"/>
      </w:pPr>
      <w:r>
        <w:rPr>
          <w:rFonts w:ascii="Times New Roman" w:cs="Times New Roman" w:eastAsia="Times New Roman" w:hAnsi="Times New Roman"/>
          <w:color w:val="333333"/>
          <w:sz w:val="22"/>
          <w:szCs w:val="22"/>
        </w:rPr>
        <w:t xml:space="preserve">Regular Updates: For ongoing disruptions, status updates will be provided at least every 4 hours until services are restored.</w:t>
      </w:r>
    </w:p>
    <w:p>
      <w:pPr>
        <w:pStyle w:val="ListParagraph"/>
        <w:numPr>
          <w:ilvl w:val="0"/>
          <w:numId w:val="2"/>
        </w:numPr>
        <w:spacing w:after="120"/>
      </w:pPr>
      <w:r>
        <w:rPr>
          <w:rFonts w:ascii="Times New Roman" w:cs="Times New Roman" w:eastAsia="Times New Roman" w:hAnsi="Times New Roman"/>
          <w:color w:val="333333"/>
          <w:sz w:val="22"/>
          <w:szCs w:val="22"/>
        </w:rPr>
        <w:t xml:space="preserve">Resolution Notification: Upon restoration of normal services, a confirmation notification will be sent to all clients.</w:t>
      </w:r>
    </w:p>
    <w:p>
      <w:pPr>
        <w:pStyle w:val="ListParagraph"/>
        <w:numPr>
          <w:ilvl w:val="0"/>
          <w:numId w:val="2"/>
        </w:numPr>
        <w:spacing w:after="120"/>
      </w:pPr>
      <w:r>
        <w:rPr>
          <w:rFonts w:ascii="Times New Roman" w:cs="Times New Roman" w:eastAsia="Times New Roman" w:hAnsi="Times New Roman"/>
          <w:color w:val="333333"/>
          <w:sz w:val="22"/>
          <w:szCs w:val="22"/>
        </w:rPr>
        <w:t xml:space="preserve">Post-Incident Report: Within 10 business days of resolution, a summary report will be made available to clients detailing the cause, impact, and remedial actions taken.</w:t>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7. TESTING AND MAINTENANCE</w:t>
      </w:r>
    </w:p>
    <w:p>
      <w:pPr>
        <w:spacing w:after="140"/>
      </w:pPr>
      <w:r>
        <w:rPr>
          <w:rFonts w:ascii="Times New Roman" w:cs="Times New Roman" w:eastAsia="Times New Roman" w:hAnsi="Times New Roman"/>
          <w:color w:val="333333"/>
          <w:sz w:val="22"/>
          <w:szCs w:val="22"/>
        </w:rPr>
        <w:t xml:space="preserve">This BCP is subject to regular testing and review to ensure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Test Type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Frequency</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Scope</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Tabletop Exercise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Quarterly</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Scenario walkthrough with Crisis Team</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IT Failover Test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Semi-Annual</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Full switchover to DR environment</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Communication Test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Quarterly</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Client and staff notification systems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Full BCP Simulation</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Annual</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Complete end-to-end recovery simulation</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Backup Restore Test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Monthly</w:t>
            </w:r>
          </w:p>
        </w:tc>
        <w:tc>
          <w:tcPr>
            <w:tcW w:type="dxa" w:w="3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Database and system backup verification</w:t>
            </w:r>
          </w:p>
        </w:tc>
      </w:tr>
    </w:tbl>
    <w:p>
      <w:pPr>
        <w:pBdr>
          <w:bottom w:val="single" w:color="1B2A4A" w:sz="2" w:space="6"/>
        </w:pBdr>
        <w:spacing w:before="400" w:after="240"/>
      </w:pPr>
      <w:r>
        <w:rPr>
          <w:rFonts w:ascii="Times New Roman" w:cs="Times New Roman" w:eastAsia="Times New Roman" w:hAnsi="Times New Roman"/>
          <w:b/>
          <w:bCs/>
          <w:color w:val="1B2A4A"/>
          <w:sz w:val="28"/>
          <w:szCs w:val="28"/>
        </w:rPr>
        <w:t xml:space="preserve">8. REGULATORY OBLIGATIONS DURING DISRUPTION</w:t>
      </w:r>
    </w:p>
    <w:p>
      <w:pPr>
        <w:spacing w:after="140"/>
      </w:pPr>
      <w:r>
        <w:rPr>
          <w:rFonts w:ascii="Times New Roman" w:cs="Times New Roman" w:eastAsia="Times New Roman" w:hAnsi="Times New Roman"/>
          <w:color w:val="333333"/>
          <w:sz w:val="22"/>
          <w:szCs w:val="22"/>
        </w:rPr>
        <w:t xml:space="preserve">NIHA will maintain compliance with all regulatory obligations during and after a disruption, including:</w:t>
      </w:r>
    </w:p>
    <w:p>
      <w:pPr>
        <w:pStyle w:val="ListParagraph"/>
        <w:numPr>
          <w:ilvl w:val="0"/>
          <w:numId w:val="2"/>
        </w:numPr>
        <w:spacing w:after="120"/>
      </w:pPr>
      <w:r>
        <w:rPr>
          <w:rFonts w:ascii="Times New Roman" w:cs="Times New Roman" w:eastAsia="Times New Roman" w:hAnsi="Times New Roman"/>
          <w:color w:val="333333"/>
          <w:sz w:val="22"/>
          <w:szCs w:val="22"/>
        </w:rPr>
        <w:t xml:space="preserve">applicable anti-money laundering legislation Reporting: Suspicious transaction reporting capabilities are maintained through manual backup procedures. The Compliance Officer retains the ability to file reports with the JFIU at all times.</w:t>
      </w:r>
    </w:p>
    <w:p>
      <w:pPr>
        <w:pStyle w:val="ListParagraph"/>
        <w:numPr>
          <w:ilvl w:val="0"/>
          <w:numId w:val="2"/>
        </w:numPr>
        <w:spacing w:after="120"/>
      </w:pPr>
      <w:r>
        <w:rPr>
          <w:rFonts w:ascii="Times New Roman" w:cs="Times New Roman" w:eastAsia="Times New Roman" w:hAnsi="Times New Roman"/>
          <w:color w:val="333333"/>
          <w:sz w:val="22"/>
          <w:szCs w:val="22"/>
        </w:rPr>
        <w:t xml:space="preserve">Sanctions Screening: Automated screening continues via cloud-based systems. Manual screening procedures are available as backup.</w:t>
      </w:r>
    </w:p>
    <w:p>
      <w:pPr>
        <w:pStyle w:val="ListParagraph"/>
        <w:numPr>
          <w:ilvl w:val="0"/>
          <w:numId w:val="2"/>
        </w:numPr>
        <w:spacing w:after="120"/>
      </w:pPr>
      <w:r>
        <w:rPr>
          <w:rFonts w:ascii="Times New Roman" w:cs="Times New Roman" w:eastAsia="Times New Roman" w:hAnsi="Times New Roman"/>
          <w:color w:val="333333"/>
          <w:sz w:val="22"/>
          <w:szCs w:val="22"/>
        </w:rPr>
        <w:t xml:space="preserve">Record Keeping: All records are replicated to the DR site in real-time. Paper-based records are maintained for manual transactions during disruption.</w:t>
      </w:r>
    </w:p>
    <w:p>
      <w:pPr>
        <w:pStyle w:val="ListParagraph"/>
        <w:numPr>
          <w:ilvl w:val="0"/>
          <w:numId w:val="2"/>
        </w:numPr>
        <w:spacing w:after="120"/>
      </w:pPr>
      <w:r>
        <w:rPr>
          <w:rFonts w:ascii="Times New Roman" w:cs="Times New Roman" w:eastAsia="Times New Roman" w:hAnsi="Times New Roman"/>
          <w:color w:val="333333"/>
          <w:sz w:val="22"/>
          <w:szCs w:val="22"/>
        </w:rPr>
        <w:t xml:space="preserve">Client Notifications: Regulatory-mandated client communications (e.g., trade confirmations) may be delayed but will be issued within 24 hours of normal service restoration.</w:t>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9. PLAN REVIEW AND GOVERNANCE</w:t>
      </w:r>
    </w:p>
    <w:p>
      <w:pPr>
        <w:spacing w:after="140"/>
      </w:pPr>
      <w:r>
        <w:rPr>
          <w:rFonts w:ascii="Times New Roman" w:cs="Times New Roman" w:eastAsia="Times New Roman" w:hAnsi="Times New Roman"/>
          <w:color w:val="333333"/>
          <w:sz w:val="22"/>
          <w:szCs w:val="22"/>
        </w:rPr>
        <w:t xml:space="preserve">This BCP is reviewed and updated:</w:t>
      </w:r>
    </w:p>
    <w:p>
      <w:pPr>
        <w:pStyle w:val="ListParagraph"/>
        <w:numPr>
          <w:ilvl w:val="0"/>
          <w:numId w:val="2"/>
        </w:numPr>
        <w:spacing w:after="120"/>
      </w:pPr>
      <w:r>
        <w:rPr>
          <w:rFonts w:ascii="Times New Roman" w:cs="Times New Roman" w:eastAsia="Times New Roman" w:hAnsi="Times New Roman"/>
          <w:color w:val="333333"/>
          <w:sz w:val="22"/>
          <w:szCs w:val="22"/>
        </w:rPr>
        <w:t xml:space="preserve">At least annually by the Chief Operating Officer with Compliance Officer input.</w:t>
      </w:r>
    </w:p>
    <w:p>
      <w:pPr>
        <w:pStyle w:val="ListParagraph"/>
        <w:numPr>
          <w:ilvl w:val="0"/>
          <w:numId w:val="2"/>
        </w:numPr>
        <w:spacing w:after="120"/>
      </w:pPr>
      <w:r>
        <w:rPr>
          <w:rFonts w:ascii="Times New Roman" w:cs="Times New Roman" w:eastAsia="Times New Roman" w:hAnsi="Times New Roman"/>
          <w:color w:val="333333"/>
          <w:sz w:val="22"/>
          <w:szCs w:val="22"/>
        </w:rPr>
        <w:t xml:space="preserve">Following any P1 or P2 incident.</w:t>
      </w:r>
    </w:p>
    <w:p>
      <w:pPr>
        <w:pStyle w:val="ListParagraph"/>
        <w:numPr>
          <w:ilvl w:val="0"/>
          <w:numId w:val="2"/>
        </w:numPr>
        <w:spacing w:after="120"/>
      </w:pPr>
      <w:r>
        <w:rPr>
          <w:rFonts w:ascii="Times New Roman" w:cs="Times New Roman" w:eastAsia="Times New Roman" w:hAnsi="Times New Roman"/>
          <w:color w:val="333333"/>
          <w:sz w:val="22"/>
          <w:szCs w:val="22"/>
        </w:rPr>
        <w:t xml:space="preserve">Following material changes to NIHA’s operations, technology infrastructure, or regulatory environment.</w:t>
      </w:r>
    </w:p>
    <w:p>
      <w:pPr>
        <w:pStyle w:val="ListParagraph"/>
        <w:numPr>
          <w:ilvl w:val="0"/>
          <w:numId w:val="2"/>
        </w:numPr>
        <w:spacing w:after="120"/>
      </w:pPr>
      <w:r>
        <w:rPr>
          <w:rFonts w:ascii="Times New Roman" w:cs="Times New Roman" w:eastAsia="Times New Roman" w:hAnsi="Times New Roman"/>
          <w:color w:val="333333"/>
          <w:sz w:val="22"/>
          <w:szCs w:val="22"/>
        </w:rPr>
        <w:t xml:space="preserve">Following changes to key personnel or organisational structure.</w:t>
      </w:r>
    </w:p>
    <w:p>
      <w:pPr>
        <w:spacing w:after="140"/>
      </w:pPr>
      <w:r>
        <w:rPr>
          <w:rFonts w:ascii="Times New Roman" w:cs="Times New Roman" w:eastAsia="Times New Roman" w:hAnsi="Times New Roman"/>
          <w:color w:val="333333"/>
          <w:sz w:val="22"/>
          <w:szCs w:val="22"/>
        </w:rPr>
        <w:t xml:space="preserve">All amendments are approved by the Board of Directors and communicated to relevant staff within 5 business days.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1" w:space="4"/>
      </w:pBdr>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 NIHA-BCP-2026-001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 w:space="4"/>
      </w:pBdr>
      <w:jc w:val="right"/>
    </w:pPr>
    <w:r>
      <w:rPr>
        <w:rFonts w:ascii="Times New Roman" w:cs="Times New Roman" w:eastAsia="Times New Roman" w:hAnsi="Times New Roman"/>
        <w:b/>
        <w:bCs/>
        <w:color w:val="1B2A4A"/>
        <w:sz w:val="16"/>
        <w:szCs w:val="16"/>
      </w:rPr>
      <w:t xml:space="preserve">ITALY NIHAO GROUP LIMITED</w:t>
    </w:r>
    <w:r>
      <w:rPr>
        <w:rFonts w:ascii="Times New Roman" w:cs="Times New Roman" w:eastAsia="Times New Roman" w:hAnsi="Times New Roman"/>
        <w:color w:val="666666"/>
        <w:sz w:val="16"/>
        <w:szCs w:val="16"/>
      </w:rPr>
      <w:t xml:space="preserve"> | Business Continuity Plan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2026-02-20T11:11:31.737Z</dcterms:created>
  <dcterms:modified xsi:type="dcterms:W3CDTF">2026-02-20T11:11:31.737Z</dcterms:modified>
</cp:coreProperties>
</file>

<file path=docProps/custom.xml><?xml version="1.0" encoding="utf-8"?>
<Properties xmlns="http://schemas.openxmlformats.org/officeDocument/2006/custom-properties" xmlns:vt="http://schemas.openxmlformats.org/officeDocument/2006/docPropsVTypes"/>
</file>