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6"/>
          <w:szCs w:val="36"/>
        </w:rPr>
        <w:t xml:space="preserve">ITALY NIHAO GROUP LIMITED</w:t>
      </w:r>
    </w:p>
    <w:p>
      <w:pPr>
        <w:pBdr>
          <w:bottom w:val="single" w:color="1B2A4A" w:sz="3" w:space="10"/>
        </w:pBd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2"/>
          <w:szCs w:val="32"/>
        </w:rPr>
        <w:t xml:space="preserve">CARBON CREDIT INVENTORY REPORT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Proprietary &amp; Client Holdings — As at 31 January 2026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Reference: NIHA-INV-2026-01-001 | Prepared by: Operations Desk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Report Date: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3 February 2026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Valuation Basis: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Mark-to-Market (closing prices 31 Jan 2026)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STRICTLY CONFIDENTIAL — Internal Use Only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Reconciled: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Yes — cross-checked with registry records</w:t>
            </w:r>
          </w:p>
        </w:tc>
      </w:tr>
    </w:tbl>
    <w:p>
      <w:r>
        <w:br w:type="page"/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1. INVENTORY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Instrument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Volume (whole units)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Avg Cost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Mkt Price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Mkt Value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Unrealised P&amp;L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Proprietary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 (Phase IV)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28,700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€62.18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€69.85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€2,004,695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+€220,123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Proprietary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 Shenzhen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265,000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¥64.80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¥73.10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¥19,371,500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+¥2,199,500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Proprietary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 National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180,000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¥88.40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¥95.20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¥17,136,000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+¥1,224,000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Proprietary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GS-VER (various)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40,000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$6.80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$8.60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$344,000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+$72,000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Proprietary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Verra VCU 2023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15,000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$4.20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$5.45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$81,750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+$18,750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Proprietary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CDM CER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50,000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$1.80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$2.15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$107,500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+$17,500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Client Custody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 (Phase IV)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47,200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Various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€69.85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€3,298,920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666666"/>
                <w:sz w:val="17"/>
                <w:szCs w:val="17"/>
              </w:rPr>
              <w:t xml:space="preserve">N/A (client)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Client Custody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 Shenzhen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420,000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Various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¥73.10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¥30,702,000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666666"/>
                <w:sz w:val="17"/>
                <w:szCs w:val="17"/>
              </w:rPr>
              <w:t xml:space="preserve">N/A (client)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Client Custody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VCC (Mixed)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85,000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Various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$7.20 avg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$612,000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666666"/>
                <w:sz w:val="17"/>
                <w:szCs w:val="17"/>
              </w:rPr>
              <w:t xml:space="preserve">N/A (client)</w:t>
            </w:r>
          </w:p>
        </w:tc>
      </w:tr>
    </w:tbl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4A"/>
          <w:sz w:val="22"/>
          <w:szCs w:val="22"/>
        </w:rPr>
        <w:t xml:space="preserve">TOTAL PROPRIETARY INVENTORY VALUE: approximately EUR 5.2 million equivalent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TOTAL CLIENT CUSTODY VALUE: approximately EUR 8.4 million equivalent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TOTAL ASSETS UNDER MANAGEMENT: approximately EUR 13.6 million equivalent</w:t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2. DETAILED EUA INVENTORY (PROPRIETARY)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Lot ID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Acquisition Date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Cost/Unit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Total Cost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Current Value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P&amp;L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EUA-P-001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18-Jun-25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ICE Endex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€58.40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€292,000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€349,250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+€57,250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EUA-P-002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04-Jul-25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OTC Bilateral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€60.10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€180,300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€209,550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+€29,250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EUA-P-003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22-Aug-25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OTC Bilateral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8,000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€61.75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€494,000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€558,800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+€64,800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EUA-P-004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15-Oct-25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Conversion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4,200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€63.90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€268,380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€293,370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+€24,990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EUA-P-005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28-Nov-25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ICE Endex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3,500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€66.20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€231,700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€244,475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+€12,775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EUA-P-006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14-Jan-26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OTC Bilateral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5,000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€68.42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€342,100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€349,250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+€7,150</w:t>
            </w:r>
          </w:p>
        </w:tc>
      </w:tr>
    </w:tbl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3. DETAILED CEA INVENTORY (PROPRIETARY — SHENZHEN)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Lot ID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Acquisition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Cost/Unit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Total Cost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P&amp;L %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CEA-SZ-001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08-Sep-25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CEEX Spot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50,000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¥62.40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¥3,120,000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+17.15%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CEA-SZ-002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24-Sep-25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CEEX Block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80,000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¥63.90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¥5,112,000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+14.40%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CEA-SZ-003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17-Oct-25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CEEX Auction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45,000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¥65.10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¥2,929,500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+12.29%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CEA-SZ-004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10-Dec-25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CEEX Spot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55,000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¥68.50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¥3,767,500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+6.72%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CEA-SZ-005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30-Jan-26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CEEX Spot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35,000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¥72.80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¥2,548,000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+0.41%</w:t>
            </w:r>
          </w:p>
        </w:tc>
      </w:tr>
    </w:tbl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4. VOLUNTARY CARBON CREDIT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Vintage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Serial Range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Gold Standard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Wind Farm — Guizhou, China (GS-4872)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15,000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GS-4872-2024-VER-001 to 015000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Core Climate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custody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Gold Standard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Solar PV — Rajasthan, India (GS-3291)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12,000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GS-3291-2024-VER-001 to 012000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Core Climate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custody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Gold Standard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Cookstoves — Kenya (GS-5104)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13,000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GS-5104-2023-VER-001 to 013000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Core Climate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custody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Verra VCS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REDD+ — Kalimantan, Indonesia (VCS-2847)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8,000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VCS-2847-2023-VCU-001 to 008000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Core Climate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custody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Verra VCS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Mangrove — Vietnam (VCS-3156)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7,000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VCS-3156-2024-VCU-001 to 007000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Core Climate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custody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CDM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Hydro — Yunnan, China (CDM-8844)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30,000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CDM-8844-2022-CER-001 to 030000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UNFCCC CDM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registry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CDM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Wind — Inner Mongolia, China (CDM-9012)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20,000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CDM-9012-2022-CER-001 to 020000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UNFCCC CDM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In registry</w:t>
            </w:r>
          </w:p>
        </w:tc>
      </w:tr>
    </w:tbl>
    <w:p>
      <w:r>
        <w:br w:type="page"/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5. REGISTRY RECONCILIATION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following table confirms that all inventory positions have been reconciled against the corresponding carbon registries: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Registry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NIHA Books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Registry Balance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Difference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Date Checked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EU Union Registry (EUTL)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75,900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75,900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7A3D"/>
                <w:sz w:val="17"/>
                <w:szCs w:val="17"/>
              </w:rPr>
              <w:t xml:space="preserve">Reconciled 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31 Jan 2026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CEEX Shenzhen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685,000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685,000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7A3D"/>
                <w:sz w:val="17"/>
                <w:szCs w:val="17"/>
              </w:rPr>
              <w:t xml:space="preserve">Reconciled 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31 Jan 2026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HKEX Core Climate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7A3D"/>
                <w:sz w:val="17"/>
                <w:szCs w:val="17"/>
              </w:rPr>
              <w:t xml:space="preserve">Reconciled 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31 Jan 2026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UNFCCC CDM Registry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50,000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50,000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7A3D"/>
                <w:sz w:val="17"/>
                <w:szCs w:val="17"/>
              </w:rPr>
              <w:t xml:space="preserve">Reconciled 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31 Jan 2026</w:t>
            </w:r>
          </w:p>
        </w:tc>
      </w:tr>
    </w:tbl>
    <w:p>
      <w:pPr>
        <w:spacing w:before="200" w:after="2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All positions reconciled with zero discrepancies. Proprietary and client holdings are tracked separately in NIHA's internal ledger system.</w:t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6. INVENTORY AGING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Age Bucket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EUA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CEA (SZ)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CEA (Nat.)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VCC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&lt; 30 days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40,000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30–90 days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3,500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58,500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91–180 days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16,000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125,000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180,000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105,000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426,000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&gt; 180 days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4,200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50,000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7"/>
                <w:szCs w:val="17"/>
              </w:rPr>
              <w:t xml:space="preserve">54,200</w:t>
            </w:r>
          </w:p>
        </w:tc>
      </w:tr>
    </w:tbl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Inventory turnover target: 120 days average. Current weighted average holding period: 98 days (within target).</w:t>
      </w:r>
    </w:p>
    <w:p>
      <w:pPr>
        <w:pBdr>
          <w:top w:val="single" w:color="1B2A4A" w:sz="2" w:space="8"/>
        </w:pBdr>
        <w:spacing w:before="400"/>
      </w:pP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Prepared by: Operations Desk — NIHA Carbon Trading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Verified by: Compliance Officer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Approved by: Managing Director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Signature: ____________________________ Date: 3 February 2026</w:t>
      </w:r>
    </w:p>
    <w:sectPr>
      <w:headerReference w:type="default" r:id="rId6"/>
      <w:footerReference w:type="default" r:id="rId7"/>
      <w:pgSz w:w="11906" w:h="16838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NIHA-INV-2026-01-001 | Page </w:t>
    </w:r>
    <w:r>
      <w:rPr>
        <w:rFonts w:ascii="Times New Roman" w:cs="Times New Roman" w:eastAsia="Times New Roman" w:hAnsi="Times New Roman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spacing w:after="80"/>
      <w:jc w:val="left"/>
    </w:pPr>
    <w:r>
      <w:rPr>
        <w:rFonts w:ascii="Times New Roman" w:cs="Times New Roman" w:eastAsia="Times New Roman" w:hAnsi="Times New Roman"/>
        <w:b/>
        <w:bCs/>
        <w:color w:val="1B2A4A"/>
        <w:sz w:val="20"/>
        <w:szCs w:val="20"/>
      </w:rPr>
      <w:t xml:space="preserve">NIHA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 | CARBON CREDIT INVENTORY REPORT | </w:t>
    </w:r>
    <w:r>
      <w:rPr>
        <w:rFonts w:ascii="Times New Roman" w:cs="Times New Roman" w:eastAsia="Times New Roman" w:hAnsi="Times New Roman"/>
        <w:b/>
        <w:bCs/>
        <w:color w:val="C0392B"/>
        <w:sz w:val="16"/>
        <w:szCs w:val="16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2026-02-20T12:17:58.576Z</dcterms:created>
  <dcterms:modified xsi:type="dcterms:W3CDTF">2026-02-20T12:17:58.576Z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