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0A2342"/>
          <w:sz w:val="48"/>
          <w:szCs w:val="48"/>
        </w:rPr>
        <w:t xml:space="preserve">NIHA CARBON TRADING PLATFORM</w:t>
      </w:r>
    </w:p>
    <w:p>
      <w:pPr>
        <w:spacing w:before="0" w:after="80"/>
        <w:jc w:val="center"/>
      </w:pPr>
      <w:r>
        <w:rPr>
          <w:rFonts w:ascii="Arial" w:cs="Arial" w:eastAsia="Arial" w:hAnsi="Arial"/>
          <w:color w:val="1A3A5C"/>
          <w:sz w:val="32"/>
          <w:szCs w:val="32"/>
        </w:rPr>
        <w:t xml:space="preserve">Client Due Diligence — Platform Q&amp;A</w:t>
      </w:r>
    </w:p>
    <w:p>
      <w:pPr>
        <w:spacing w:before="0" w:after="240"/>
        <w:jc w:val="center"/>
      </w:pPr>
      <w:r>
        <w:rPr>
          <w:rFonts w:ascii="Arial" w:cs="Arial" w:eastAsia="Arial" w:hAnsi="Arial"/>
          <w:i/>
          <w:iCs/>
          <w:color w:val="666666"/>
          <w:sz w:val="22"/>
          <w:szCs w:val="22"/>
        </w:rPr>
        <w:t xml:space="preserve">February 2026 | Confidential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0A2342" w:val="clear"/>
            <w:tcMar>
              <w:top w:type="dxa" w:w="160"/>
              <w:left w:type="dxa" w:w="300"/>
              <w:bottom w:type="dxa" w:w="160"/>
              <w:right w:type="dxa" w:w="300"/>
            </w:tcMar>
          </w:tcPr>
          <w:p>
            <w:pPr>
              <w:jc w:val="center"/>
            </w:pPr>
            <w:r>
              <w:rPr>
                <w:rFonts w:ascii="Arial" w:cs="Arial" w:eastAsia="Arial" w:hAnsi="Arial"/>
                <w:color w:val="FFFFFF"/>
                <w:sz w:val="20"/>
                <w:szCs w:val="20"/>
              </w:rPr>
              <w:t xml:space="preserve">This document provides responses to standard due diligence questions</w:t>
            </w:r>
          </w:p>
          <w:p>
            <w:pPr>
              <w:jc w:val="center"/>
            </w:pPr>
            <w:r>
              <w:rPr>
                <w:rFonts w:ascii="Arial" w:cs="Arial" w:eastAsia="Arial" w:hAnsi="Arial"/>
                <w:color w:val="FFFFFF"/>
                <w:sz w:val="20"/>
                <w:szCs w:val="20"/>
              </w:rPr>
              <w:t xml:space="preserve">received from institutional and professional clients of NIHA Carbon.</w:t>
            </w:r>
          </w:p>
        </w:tc>
      </w:tr>
    </w:tbl>
    <w:p>
      <w:pPr>
        <w:spacing w:before="0" w:after="0"/>
      </w:pPr>
      <w:r>
        <w:t xml:space="preserve"/>
      </w:r>
    </w:p>
    <w:p>
      <w:pPr>
        <w:spacing w:before="0" w:after="0"/>
      </w:pPr>
      <w:r>
        <w:t xml:space="preserve"/>
      </w:r>
    </w:p>
    <w:p>
      <w:r>
        <w:br w:type="page"/>
      </w:r>
    </w:p>
    <w:p>
      <w:pPr>
        <w:pBdr>
          <w:bottom w:val="single" w:color="10B981" w:sz="4" w:space="4"/>
        </w:pBdr>
        <w:spacing w:before="280" w:after="120"/>
      </w:pPr>
      <w:r>
        <w:rPr>
          <w:rFonts w:ascii="Arial" w:cs="Arial" w:eastAsia="Arial" w:hAnsi="Arial"/>
          <w:b/>
          <w:bCs/>
          <w:color w:val="0A2342"/>
          <w:sz w:val="24"/>
          <w:szCs w:val="24"/>
        </w:rPr>
        <w:t xml:space="preserve">1. Platform Legitimacy &amp; Regulation</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Is the platform regulated (e.g. by ESMA, national financial authorities)?</w:t>
      </w:r>
    </w:p>
    <w:p>
      <w:pPr>
        <w:spacing w:before="60" w:after="100"/>
        <w:ind w:left="360"/>
      </w:pPr>
      <w:r>
        <w:rPr>
          <w:rFonts w:ascii="Arial" w:cs="Arial" w:eastAsia="Arial" w:hAnsi="Arial"/>
          <w:color w:val="1A1A1A"/>
          <w:sz w:val="20"/>
          <w:szCs w:val="20"/>
        </w:rPr>
        <w:t xml:space="preserve">NIHA Carbon operates in strict compliance with applicable anti-money laundering and counter-financing of terrorism legislation, including AMLO Cap. 615 (Anti-Money Laundering and Counter-Terrorist Financing Ordinance). The platform implements mandatory KYC/AML procedures for all clients prior to onboarding.</w:t>
      </w:r>
    </w:p>
    <w:p>
      <w:pPr>
        <w:spacing w:before="60" w:after="100"/>
        <w:ind w:left="360"/>
      </w:pPr>
      <w:r>
        <w:rPr>
          <w:rFonts w:ascii="Arial" w:cs="Arial" w:eastAsia="Arial" w:hAnsi="Arial"/>
          <w:color w:val="1A1A1A"/>
          <w:sz w:val="20"/>
          <w:szCs w:val="20"/>
        </w:rPr>
        <w:t xml:space="preserve">Regarding formal registration with ESMA or EU national financial authorities: the EU ETS secondary market for EUAs has historically operated under a range of regulatory regimes depending on the nature of the product offered (spot vs. derivative). NIHA Carbon's specific regulatory registrations should be confirmed directly with our compliance team — please contact us at compliance@nihaogroup.com for the latest regulatory status letter.</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 NOTE: For regulatory registration certificates and licence details, request our Compliance Pack from the NIHA legal team.</w:t>
            </w:r>
          </w:p>
        </w:tc>
      </w:tr>
    </w:tbl>
    <w:p>
      <w:pPr>
        <w:spacing w:before="0" w:after="0"/>
      </w:pPr>
      <w:r>
        <w:t xml:space="preserve"/>
      </w:r>
    </w:p>
    <w:p>
      <w:pPr>
        <w:spacing w:before="160" w:after="60"/>
        <w:ind w:left="360"/>
      </w:pPr>
      <w:r>
        <w:rPr>
          <w:rFonts w:ascii="Arial" w:cs="Arial" w:eastAsia="Arial" w:hAnsi="Arial"/>
          <w:b/>
          <w:bCs/>
          <w:i/>
          <w:iCs/>
          <w:color w:val="1A3A5C"/>
          <w:sz w:val="20"/>
          <w:szCs w:val="20"/>
        </w:rPr>
        <w:t xml:space="preserve">Q: Does it operate as an authorised exchange, broker, or intermediary under EU ETS rules?</w:t>
      </w:r>
    </w:p>
    <w:p>
      <w:pPr>
        <w:spacing w:before="60" w:after="100"/>
        <w:ind w:left="360"/>
      </w:pPr>
      <w:r>
        <w:rPr>
          <w:rFonts w:ascii="Arial" w:cs="Arial" w:eastAsia="Arial" w:hAnsi="Arial"/>
          <w:color w:val="1A1A1A"/>
          <w:sz w:val="20"/>
          <w:szCs w:val="20"/>
        </w:rPr>
        <w:t xml:space="preserve">NIHA Carbon operates as a trading platform and intermediary facilitating the exchange of EU Allowances (EUA) between buyers and sellers. The platform connects entities holding or seeking EUAs and CEAs, executing trades through a structured order book and settlement infrastructure. The platform acts in an intermediary capacity and does not operate as a regulated exchange under MiFID II for spot commodity contracts. Spot EUA transactions are currently excluded from MiFID II financial instrument classification under EU ETS regulations, though clients should verify their own regulatory obligations.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Can you provide the platform's registration or licence details?</w:t>
      </w:r>
    </w:p>
    <w:p>
      <w:pPr>
        <w:spacing w:before="60" w:after="100"/>
        <w:ind w:left="360"/>
      </w:pPr>
      <w:r>
        <w:rPr>
          <w:rFonts w:ascii="Arial" w:cs="Arial" w:eastAsia="Arial" w:hAnsi="Arial"/>
          <w:color w:val="1A1A1A"/>
          <w:sz w:val="20"/>
          <w:szCs w:val="20"/>
        </w:rPr>
        <w:t xml:space="preserve">NIHA Carbon's entity documentation, including incorporation certificate, AML/CTF policy, and applicable licence or registration details, is available upon request as part of our standard onboarding documentation package. The platform maintains a 7-year record retention policy for all KYC and transactional records in compliance with AMLO Cap. 615.</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 NOTE: Request the NIHA Compliance Pack for entity registration documents, AML policy, and any applicable licence certificates.</w:t>
            </w:r>
          </w:p>
        </w:tc>
      </w:tr>
    </w:tbl>
    <w:p>
      <w:pPr>
        <w:spacing w:before="0" w:after="0"/>
      </w:pPr>
      <w:r>
        <w:t xml:space="preserve"/>
      </w:r>
    </w:p>
    <w:p>
      <w:pPr>
        <w:spacing w:before="160" w:after="60"/>
        <w:ind w:left="360"/>
      </w:pPr>
      <w:r>
        <w:rPr>
          <w:rFonts w:ascii="Arial" w:cs="Arial" w:eastAsia="Arial" w:hAnsi="Arial"/>
          <w:b/>
          <w:bCs/>
          <w:i/>
          <w:iCs/>
          <w:color w:val="1A3A5C"/>
          <w:sz w:val="20"/>
          <w:szCs w:val="20"/>
        </w:rPr>
        <w:t xml:space="preserve">Q: How long has the platform been operating, and what is its trading volume history?</w:t>
      </w:r>
    </w:p>
    <w:p>
      <w:pPr>
        <w:spacing w:before="60" w:after="100"/>
        <w:ind w:left="360"/>
      </w:pPr>
      <w:r>
        <w:rPr>
          <w:rFonts w:ascii="Arial" w:cs="Arial" w:eastAsia="Arial" w:hAnsi="Arial"/>
          <w:color w:val="1A1A1A"/>
          <w:sz w:val="20"/>
          <w:szCs w:val="20"/>
        </w:rPr>
        <w:t xml:space="preserve">NIHA Carbon Trading Platform was developed and launched to serve clients seeking access to both the EU ETS market (EUA) and the Chinese carbon allowance market (CEA). Volume figures and operational history details are available upon request under NDA. Please contact your account representative for trading statistics.</w:t>
      </w:r>
    </w:p>
    <w:p>
      <w:pPr>
        <w:spacing w:before="0" w:after="0"/>
      </w:pPr>
      <w:r>
        <w:t xml:space="preserve"/>
      </w:r>
    </w:p>
    <w:p>
      <w:pPr>
        <w:spacing w:before="0" w:after="0"/>
      </w:pPr>
      <w:r>
        <w:t xml:space="preserve"/>
      </w:r>
    </w:p>
    <w:p>
      <w:pPr>
        <w:pBdr>
          <w:bottom w:val="single" w:color="10B981" w:sz="4" w:space="4"/>
        </w:pBdr>
        <w:spacing w:before="280" w:after="120"/>
      </w:pPr>
      <w:r>
        <w:rPr>
          <w:rFonts w:ascii="Arial" w:cs="Arial" w:eastAsia="Arial" w:hAnsi="Arial"/>
          <w:b/>
          <w:bCs/>
          <w:color w:val="0A2342"/>
          <w:sz w:val="24"/>
          <w:szCs w:val="24"/>
        </w:rPr>
        <w:t xml:space="preserve">2. Platform Security &amp; Processes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How are EUA transfers executed on the platform (direct registry-to-registry, internal accounts, pooled accounts)?</w:t>
      </w:r>
    </w:p>
    <w:p>
      <w:pPr>
        <w:spacing w:before="60" w:after="100"/>
        <w:ind w:left="360"/>
      </w:pPr>
      <w:r>
        <w:rPr>
          <w:rFonts w:ascii="Arial" w:cs="Arial" w:eastAsia="Arial" w:hAnsi="Arial"/>
          <w:color w:val="1A1A1A"/>
          <w:sz w:val="20"/>
          <w:szCs w:val="20"/>
        </w:rPr>
        <w:t xml:space="preserve">EUA transfers on NIHA Carbon follow a structured settlement process with full status tracking. The settlement flow progresses through five stages: PENDING → TRANSFER INITIATED → IN TRANSIT → AT CUSTODY → SETTLED. Each stage corresponds to a real-world step in the registry transfer process, ensuring full transparency and auditability. The platform provides clients with registry-level settlement confirmation upon completion.</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Are transfers on-chain (registry linked) or via an internal ledger before final delivery?</w:t>
      </w:r>
    </w:p>
    <w:p>
      <w:pPr>
        <w:spacing w:before="60" w:after="100"/>
        <w:ind w:left="360"/>
      </w:pPr>
      <w:r>
        <w:rPr>
          <w:rFonts w:ascii="Arial" w:cs="Arial" w:eastAsia="Arial" w:hAnsi="Arial"/>
          <w:color w:val="1A1A1A"/>
          <w:sz w:val="20"/>
          <w:szCs w:val="20"/>
        </w:rPr>
        <w:t xml:space="preserve">EUA transfers are tracked through the EU ETS registry system. The platform maintains an internal ledger to reflect pre-settlement positions during the settlement window (T+5 business days for the EUA leg), which is then reconciled against the official EU Union Registry upon settlement completion. Clients receive registry-level confirmation of transfer into their nominated EU ETS account.</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What security measures are in place (KYC/AML, fraud prevention, transaction monitoring)?</w:t>
      </w:r>
    </w:p>
    <w:p>
      <w:pPr>
        <w:spacing w:before="60" w:after="100"/>
        <w:ind w:left="360"/>
      </w:pPr>
      <w:r>
        <w:rPr>
          <w:rFonts w:ascii="Arial" w:cs="Arial" w:eastAsia="Arial" w:hAnsi="Arial"/>
          <w:color w:val="1A1A1A"/>
          <w:sz w:val="20"/>
          <w:szCs w:val="20"/>
        </w:rPr>
        <w:t xml:space="preserve">NIHA Carbon implements a comprehensive, multi-layered security and compliance framework:</w:t>
      </w:r>
    </w:p>
    <w:p>
      <w:pPr>
        <w:pStyle w:val="ListParagraph"/>
        <w:numPr>
          <w:ilvl w:val="0"/>
          <w:numId w:val="2"/>
        </w:numPr>
        <w:spacing w:before="40" w:after="40"/>
        <w:ind w:left="720" w:hanging="360"/>
      </w:pPr>
      <w:r>
        <w:rPr>
          <w:rFonts w:ascii="Arial" w:cs="Arial" w:eastAsia="Arial" w:hAnsi="Arial"/>
          <w:color w:val="1A1A1A"/>
          <w:sz w:val="20"/>
          <w:szCs w:val="20"/>
        </w:rPr>
        <w:t xml:space="preserve">KYC: All clients complete a structured 5-step KYC process including PEP (Politically Exposed Person) declarations for all directors and UBOs, carbon market experience assessment, source of funds declaration, tax residency and CRS disclosures, and 9 mandatory legal declarations.</w:t>
      </w:r>
    </w:p>
    <w:p>
      <w:pPr>
        <w:pStyle w:val="ListParagraph"/>
        <w:numPr>
          <w:ilvl w:val="0"/>
          <w:numId w:val="2"/>
        </w:numPr>
        <w:spacing w:before="40" w:after="40"/>
        <w:ind w:left="720" w:hanging="360"/>
      </w:pPr>
      <w:r>
        <w:rPr>
          <w:rFonts w:ascii="Arial" w:cs="Arial" w:eastAsia="Arial" w:hAnsi="Arial"/>
          <w:color w:val="1A1A1A"/>
          <w:sz w:val="20"/>
          <w:szCs w:val="20"/>
        </w:rPr>
        <w:t xml:space="preserve">AML: All first deposits are subject to a mandatory 3-business-day AML hold; large deposits (≥€500,000) are subject to enhanced due diligence with a 3-business-day review period.</w:t>
      </w:r>
    </w:p>
    <w:p>
      <w:pPr>
        <w:pStyle w:val="ListParagraph"/>
        <w:numPr>
          <w:ilvl w:val="0"/>
          <w:numId w:val="2"/>
        </w:numPr>
        <w:spacing w:before="40" w:after="40"/>
        <w:ind w:left="720" w:hanging="360"/>
      </w:pPr>
      <w:r>
        <w:rPr>
          <w:rFonts w:ascii="Arial" w:cs="Arial" w:eastAsia="Arial" w:hAnsi="Arial"/>
          <w:color w:val="1A1A1A"/>
          <w:sz w:val="20"/>
          <w:szCs w:val="20"/>
        </w:rPr>
        <w:t xml:space="preserve">Identity Verification: Full NDA process and document verification before any trading access is granted.</w:t>
      </w:r>
    </w:p>
    <w:p>
      <w:pPr>
        <w:pStyle w:val="ListParagraph"/>
        <w:numPr>
          <w:ilvl w:val="0"/>
          <w:numId w:val="2"/>
        </w:numPr>
        <w:spacing w:before="40" w:after="40"/>
        <w:ind w:left="720" w:hanging="360"/>
      </w:pPr>
      <w:r>
        <w:rPr>
          <w:rFonts w:ascii="Arial" w:cs="Arial" w:eastAsia="Arial" w:hAnsi="Arial"/>
          <w:color w:val="1A1A1A"/>
          <w:sz w:val="20"/>
          <w:szCs w:val="20"/>
        </w:rPr>
        <w:t xml:space="preserve">Role-Based Access: Clients progress through a strict, role-based onboarding flow (NDA → KYC → APPROVED → FUNDING → AML → CEA/EUA) with each step requiring explicit admin approval.</w:t>
      </w:r>
    </w:p>
    <w:p>
      <w:pPr>
        <w:pStyle w:val="ListParagraph"/>
        <w:numPr>
          <w:ilvl w:val="0"/>
          <w:numId w:val="2"/>
        </w:numPr>
        <w:spacing w:before="40" w:after="40"/>
        <w:ind w:left="720" w:hanging="360"/>
      </w:pPr>
      <w:r>
        <w:rPr>
          <w:rFonts w:ascii="Arial" w:cs="Arial" w:eastAsia="Arial" w:hAnsi="Arial"/>
          <w:color w:val="1A1A1A"/>
          <w:sz w:val="20"/>
          <w:szCs w:val="20"/>
        </w:rPr>
        <w:t xml:space="preserve">Record Retention: All KYC, transaction, and STR records are retained for 7 years post-termination per AMLO Cap. 615.</w:t>
      </w:r>
    </w:p>
    <w:p>
      <w:pPr>
        <w:pStyle w:val="ListParagraph"/>
        <w:numPr>
          <w:ilvl w:val="0"/>
          <w:numId w:val="2"/>
        </w:numPr>
        <w:spacing w:before="40" w:after="40"/>
        <w:ind w:left="720" w:hanging="360"/>
      </w:pPr>
      <w:r>
        <w:rPr>
          <w:rFonts w:ascii="Arial" w:cs="Arial" w:eastAsia="Arial" w:hAnsi="Arial"/>
          <w:color w:val="1A1A1A"/>
          <w:sz w:val="20"/>
          <w:szCs w:val="20"/>
        </w:rPr>
        <w:t xml:space="preserve">Transaction Monitoring: All deposits, trades, and settlements are logged with full audit trails.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Does the platform provide escrow services or secure settlement arrangements?</w:t>
      </w:r>
    </w:p>
    <w:p>
      <w:pPr>
        <w:spacing w:before="60" w:after="100"/>
        <w:ind w:left="360"/>
      </w:pPr>
      <w:r>
        <w:rPr>
          <w:rFonts w:ascii="Arial" w:cs="Arial" w:eastAsia="Arial" w:hAnsi="Arial"/>
          <w:color w:val="1A1A1A"/>
          <w:sz w:val="20"/>
          <w:szCs w:val="20"/>
        </w:rPr>
        <w:t xml:space="preserve">The platform operates on a pre-funding model: client funds are cleared through an AML review process before becoming available for trading. Settlement proceeds through a defined custody stage (AT_CUSTODY) before final delivery (SETTLED), providing a structured settlement assurance mechanism. Fund return requests are processed within 5 business days per our Custody Agreement.</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What protections exist in case of platform insolvency or technical failure?</w:t>
      </w:r>
    </w:p>
    <w:p>
      <w:pPr>
        <w:spacing w:before="60" w:after="100"/>
        <w:ind w:left="360"/>
      </w:pPr>
      <w:r>
        <w:rPr>
          <w:rFonts w:ascii="Arial" w:cs="Arial" w:eastAsia="Arial" w:hAnsi="Arial"/>
          <w:color w:val="1A1A1A"/>
          <w:sz w:val="20"/>
          <w:szCs w:val="20"/>
        </w:rPr>
        <w:t xml:space="preserve">The platform maintains client assets in segregated holdings tracked at the entity level (EntityHolding records) with full auditability. All transaction records and balances are maintained in a persistent PostgreSQL database with independent backup infrastructure. The platform's settlement processor includes overdue monitoring with alerts at 1 business day (warning) and 3 business days (critical) after expected settlement date, ensuring timely escalation of any issues.</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 NOTE: For detailed insolvency protection arrangements and custodial terms, please refer to the NIHA Custody Agreement provided during client onboarding.</w:t>
            </w:r>
          </w:p>
        </w:tc>
      </w:tr>
    </w:tbl>
    <w:p>
      <w:pPr>
        <w:spacing w:before="0" w:after="0"/>
      </w:pPr>
      <w:r>
        <w:t xml:space="preserve"/>
      </w:r>
    </w:p>
    <w:p>
      <w:pPr>
        <w:spacing w:before="0" w:after="0"/>
      </w:pPr>
      <w:r>
        <w:t xml:space="preserve"/>
      </w:r>
    </w:p>
    <w:p>
      <w:pPr>
        <w:pBdr>
          <w:bottom w:val="single" w:color="10B981" w:sz="4" w:space="4"/>
        </w:pBdr>
        <w:spacing w:before="280" w:after="120"/>
      </w:pPr>
      <w:r>
        <w:rPr>
          <w:rFonts w:ascii="Arial" w:cs="Arial" w:eastAsia="Arial" w:hAnsi="Arial"/>
          <w:b/>
          <w:bCs/>
          <w:color w:val="0A2342"/>
          <w:sz w:val="24"/>
          <w:szCs w:val="24"/>
        </w:rPr>
        <w:t xml:space="preserve">3. Fees &amp; Transparency</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What are the platform's trading fees, transfer fees, and settlement fees?</w:t>
      </w:r>
    </w:p>
    <w:p>
      <w:pPr>
        <w:spacing w:before="60" w:after="100"/>
        <w:ind w:left="360"/>
      </w:pPr>
      <w:r>
        <w:rPr>
          <w:rFonts w:ascii="Arial" w:cs="Arial" w:eastAsia="Arial" w:hAnsi="Arial"/>
          <w:color w:val="1A1A1A"/>
          <w:sz w:val="20"/>
          <w:szCs w:val="20"/>
        </w:rPr>
        <w:t xml:space="preserve">NIHA Carbon applies the following standard fee structure:</w:t>
      </w:r>
    </w:p>
    <w:p>
      <w:pPr>
        <w:pStyle w:val="ListParagraph"/>
        <w:numPr>
          <w:ilvl w:val="0"/>
          <w:numId w:val="2"/>
        </w:numPr>
        <w:spacing w:before="40" w:after="40"/>
        <w:ind w:left="720" w:hanging="360"/>
      </w:pPr>
      <w:r>
        <w:rPr>
          <w:rFonts w:ascii="Arial" w:cs="Arial" w:eastAsia="Arial" w:hAnsi="Arial"/>
          <w:color w:val="1A1A1A"/>
          <w:sz w:val="20"/>
          <w:szCs w:val="20"/>
        </w:rPr>
        <w:t xml:space="preserve">CEA Cash Purchase: 1.5% of transaction value</w:t>
      </w:r>
    </w:p>
    <w:p>
      <w:pPr>
        <w:pStyle w:val="ListParagraph"/>
        <w:numPr>
          <w:ilvl w:val="0"/>
          <w:numId w:val="2"/>
        </w:numPr>
        <w:spacing w:before="40" w:after="40"/>
        <w:ind w:left="720" w:hanging="360"/>
      </w:pPr>
      <w:r>
        <w:rPr>
          <w:rFonts w:ascii="Arial" w:cs="Arial" w:eastAsia="Arial" w:hAnsi="Arial"/>
          <w:color w:val="1A1A1A"/>
          <w:sz w:val="20"/>
          <w:szCs w:val="20"/>
        </w:rPr>
        <w:t xml:space="preserve">CEA ↔ EUA Swap: 2.0% of transaction value</w:t>
      </w:r>
    </w:p>
    <w:p>
      <w:pPr>
        <w:spacing w:before="60" w:after="100"/>
        <w:ind w:left="360"/>
      </w:pPr>
      <w:r>
        <w:rPr>
          <w:rFonts w:ascii="Arial" w:cs="Arial" w:eastAsia="Arial" w:hAnsi="Arial"/>
          <w:color w:val="1A1A1A"/>
          <w:sz w:val="20"/>
          <w:szCs w:val="20"/>
        </w:rPr>
        <w:t xml:space="preserve">Fee overrides may be negotiated for institutional clients or introducer-referred clients. Settlement and transfer fees are included in the above trading fee structure — there are no additional settlement surcharges beyond the stated trading fee.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ECFDF5" w:val="clear"/>
            <w:tcMar>
              <w:top w:type="dxa" w:w="100"/>
              <w:left w:type="dxa" w:w="180"/>
              <w:bottom w:type="dxa" w:w="100"/>
              <w:right w:type="dxa" w:w="180"/>
            </w:tcMar>
          </w:tcPr>
          <w:p>
            <w:r>
              <w:rPr>
                <w:rFonts w:ascii="Arial" w:cs="Arial" w:eastAsia="Arial" w:hAnsi="Arial"/>
                <w:color w:val="065F46"/>
                <w:sz w:val="18"/>
                <w:szCs w:val="18"/>
              </w:rPr>
              <w:t xml:space="preserve">Fee structures for institutional clients are negotiable. Contact your account manager for a personalised fee schedule.</w:t>
            </w:r>
          </w:p>
        </w:tc>
      </w:tr>
    </w:tbl>
    <w:p>
      <w:pPr>
        <w:spacing w:before="0" w:after="0"/>
      </w:pPr>
      <w:r>
        <w:t xml:space="preserve"/>
      </w:r>
    </w:p>
    <w:p>
      <w:pPr>
        <w:spacing w:before="160" w:after="60"/>
        <w:ind w:left="360"/>
      </w:pPr>
      <w:r>
        <w:rPr>
          <w:rFonts w:ascii="Arial" w:cs="Arial" w:eastAsia="Arial" w:hAnsi="Arial"/>
          <w:b/>
          <w:bCs/>
          <w:i/>
          <w:iCs/>
          <w:color w:val="1A3A5C"/>
          <w:sz w:val="20"/>
          <w:szCs w:val="20"/>
        </w:rPr>
        <w:t xml:space="preserve">Q: Is pricing transparent (linked to EUA spot/futures benchmarks such as ICE or EEX)?</w:t>
      </w:r>
    </w:p>
    <w:p>
      <w:pPr>
        <w:spacing w:before="60" w:after="100"/>
        <w:ind w:left="360"/>
      </w:pPr>
      <w:r>
        <w:rPr>
          <w:rFonts w:ascii="Arial" w:cs="Arial" w:eastAsia="Arial" w:hAnsi="Arial"/>
          <w:color w:val="1A1A1A"/>
          <w:sz w:val="20"/>
          <w:szCs w:val="20"/>
        </w:rPr>
        <w:t xml:space="preserve">Yes. EUA and CEA prices displayed on the platform are sourced from live market data providers including carboncredits.com and Trading Economics, providing benchmark-linked pricing. The CEA/EUA swap ratio is derived directly from the live prices of both instruments (ratio = CEA price EUR / EUA price EUR), ensuring full transparency and market-linkage. Price history is available to all authenticated users.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Are there any hidden costs (e.g. withdrawal, registry transfer)?</w:t>
      </w:r>
    </w:p>
    <w:p>
      <w:pPr>
        <w:spacing w:before="60" w:after="100"/>
        <w:ind w:left="360"/>
      </w:pPr>
      <w:r>
        <w:rPr>
          <w:rFonts w:ascii="Arial" w:cs="Arial" w:eastAsia="Arial" w:hAnsi="Arial"/>
          <w:color w:val="1A1A1A"/>
          <w:sz w:val="20"/>
          <w:szCs w:val="20"/>
        </w:rPr>
        <w:t xml:space="preserve">There are no hidden costs. The platform operates with full fee transparency. The only fees are the trading fees stated above (1.5% for CEA cash; 2.0% for swap). Withdrawal and fund return requests are processed within 5 business days with no additional fees. The platform does not charge custody or maintenance fees.</w:t>
      </w:r>
    </w:p>
    <w:p>
      <w:pPr>
        <w:spacing w:before="0" w:after="0"/>
      </w:pPr>
      <w:r>
        <w:t xml:space="preserve"/>
      </w:r>
    </w:p>
    <w:p>
      <w:pPr>
        <w:spacing w:before="0" w:after="0"/>
      </w:pPr>
      <w:r>
        <w:t xml:space="preserve"/>
      </w:r>
    </w:p>
    <w:p>
      <w:pPr>
        <w:pBdr>
          <w:bottom w:val="single" w:color="10B981" w:sz="4" w:space="4"/>
        </w:pBdr>
        <w:spacing w:before="280" w:after="120"/>
      </w:pPr>
      <w:r>
        <w:rPr>
          <w:rFonts w:ascii="Arial" w:cs="Arial" w:eastAsia="Arial" w:hAnsi="Arial"/>
          <w:b/>
          <w:bCs/>
          <w:color w:val="0A2342"/>
          <w:sz w:val="24"/>
          <w:szCs w:val="24"/>
        </w:rPr>
        <w:t xml:space="preserve">4. Counterparty &amp; Transaction Risks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Does the platform act as principal (selling its own EUAs) or only as an intermediary?</w:t>
      </w:r>
    </w:p>
    <w:p>
      <w:pPr>
        <w:spacing w:before="60" w:after="100"/>
        <w:ind w:left="360"/>
      </w:pPr>
      <w:r>
        <w:rPr>
          <w:rFonts w:ascii="Arial" w:cs="Arial" w:eastAsia="Arial" w:hAnsi="Arial"/>
          <w:color w:val="1A1A1A"/>
          <w:sz w:val="20"/>
          <w:szCs w:val="20"/>
        </w:rPr>
        <w:t xml:space="preserve">NIHA Carbon operates as an intermediary platform, connecting buyers and sellers through an order book mechanism. The platform also engages Market Maker entities that provide liquidity to the order book. When trading against Market Maker liquidity, the Market Maker entity is the counterparty to the trade, not NIHA Carbon as principal. NIHA Carbon itself does not hold or sell its own EUA inventory.</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Who is the ultimate seller of the EUAs, and can they be identified?</w:t>
      </w:r>
    </w:p>
    <w:p>
      <w:pPr>
        <w:spacing w:before="60" w:after="100"/>
        <w:ind w:left="360"/>
      </w:pPr>
      <w:r>
        <w:rPr>
          <w:rFonts w:ascii="Arial" w:cs="Arial" w:eastAsia="Arial" w:hAnsi="Arial"/>
          <w:color w:val="1A1A1A"/>
          <w:sz w:val="20"/>
          <w:szCs w:val="20"/>
        </w:rPr>
        <w:t xml:space="preserve">All counterparties on the platform are subject to the same rigorous KYC/AML onboarding process as buyers. Each entity is individually verified, screened against sanctions lists, and approved by the NIHA compliance team before being permitted to trade. Client identity details are held on file in compliance with AMLO Cap. 615 record retention requirements.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Does the platform require pre-funding, or does it support Delivery vs Payment (DvP) settlement?</w:t>
      </w:r>
    </w:p>
    <w:p>
      <w:pPr>
        <w:spacing w:before="60" w:after="100"/>
        <w:ind w:left="360"/>
      </w:pPr>
      <w:r>
        <w:rPr>
          <w:rFonts w:ascii="Arial" w:cs="Arial" w:eastAsia="Arial" w:hAnsi="Arial"/>
          <w:color w:val="1A1A1A"/>
          <w:sz w:val="20"/>
          <w:szCs w:val="20"/>
        </w:rPr>
        <w:t xml:space="preserve">The platform operates on a pre-funding model for EUR deposits. Clients announce their wire transfer in advance, which is then confirmed and cleared through an AML review before trading access is granted. This model provides the equivalent protection of a DvP arrangement — funds are verified and held before certificates are delivered, and certificate delivery is tracked through the full settlement chain (PENDING → TRANSFER INITIATED → IN TRANSIT → AT CUSTODY → SETTLED).</w:t>
      </w:r>
    </w:p>
    <w:p>
      <w:pPr>
        <w:spacing w:before="60" w:after="100"/>
        <w:ind w:left="360"/>
      </w:pPr>
      <w:r>
        <w:rPr>
          <w:rFonts w:ascii="Arial" w:cs="Arial" w:eastAsia="Arial" w:hAnsi="Arial"/>
          <w:color w:val="1A1A1A"/>
          <w:sz w:val="20"/>
          <w:szCs w:val="20"/>
        </w:rPr>
        <w:t xml:space="preserve">Standard settlement timelines:</w:t>
      </w:r>
    </w:p>
    <w:p>
      <w:pPr>
        <w:pStyle w:val="ListParagraph"/>
        <w:numPr>
          <w:ilvl w:val="0"/>
          <w:numId w:val="2"/>
        </w:numPr>
        <w:spacing w:before="40" w:after="40"/>
        <w:ind w:left="720" w:hanging="360"/>
      </w:pPr>
      <w:r>
        <w:rPr>
          <w:rFonts w:ascii="Arial" w:cs="Arial" w:eastAsia="Arial" w:hAnsi="Arial"/>
          <w:color w:val="1A1A1A"/>
          <w:sz w:val="20"/>
          <w:szCs w:val="20"/>
        </w:rPr>
        <w:t xml:space="preserve">CEA Cash Purchase: T+3 business days</w:t>
      </w:r>
    </w:p>
    <w:p>
      <w:pPr>
        <w:pStyle w:val="ListParagraph"/>
        <w:numPr>
          <w:ilvl w:val="0"/>
          <w:numId w:val="2"/>
        </w:numPr>
        <w:spacing w:before="40" w:after="40"/>
        <w:ind w:left="720" w:hanging="360"/>
      </w:pPr>
      <w:r>
        <w:rPr>
          <w:rFonts w:ascii="Arial" w:cs="Arial" w:eastAsia="Arial" w:hAnsi="Arial"/>
          <w:color w:val="1A1A1A"/>
          <w:sz w:val="20"/>
          <w:szCs w:val="20"/>
        </w:rPr>
        <w:t xml:space="preserve">Swap CEA leg: T+2 business days</w:t>
      </w:r>
    </w:p>
    <w:p>
      <w:pPr>
        <w:pStyle w:val="ListParagraph"/>
        <w:numPr>
          <w:ilvl w:val="0"/>
          <w:numId w:val="2"/>
        </w:numPr>
        <w:spacing w:before="40" w:after="40"/>
        <w:ind w:left="720" w:hanging="360"/>
      </w:pPr>
      <w:r>
        <w:rPr>
          <w:rFonts w:ascii="Arial" w:cs="Arial" w:eastAsia="Arial" w:hAnsi="Arial"/>
          <w:color w:val="1A1A1A"/>
          <w:sz w:val="20"/>
          <w:szCs w:val="20"/>
        </w:rPr>
        <w:t xml:space="preserve">Swap EUA leg: T+5 business days</w:t>
      </w:r>
    </w:p>
    <w:p>
      <w:pPr>
        <w:pStyle w:val="ListParagraph"/>
        <w:numPr>
          <w:ilvl w:val="0"/>
          <w:numId w:val="2"/>
        </w:numPr>
        <w:spacing w:before="40" w:after="40"/>
        <w:ind w:left="720" w:hanging="360"/>
      </w:pPr>
      <w:r>
        <w:rPr>
          <w:rFonts w:ascii="Arial" w:cs="Arial" w:eastAsia="Arial" w:hAnsi="Arial"/>
          <w:color w:val="1A1A1A"/>
          <w:sz w:val="20"/>
          <w:szCs w:val="20"/>
        </w:rPr>
        <w:t xml:space="preserve">Full cycle (purchase → swap → EUA delivery): T+10 business days</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What legal recourse do you have in case of dispute (jurisdiction, arbitration, governing law)?</w:t>
      </w:r>
    </w:p>
    <w:p>
      <w:pPr>
        <w:spacing w:before="60" w:after="100"/>
        <w:ind w:left="360"/>
      </w:pPr>
      <w:r>
        <w:rPr>
          <w:rFonts w:ascii="Arial" w:cs="Arial" w:eastAsia="Arial" w:hAnsi="Arial"/>
          <w:color w:val="1A1A1A"/>
          <w:sz w:val="20"/>
          <w:szCs w:val="20"/>
        </w:rPr>
        <w:t xml:space="preserve">All clients execute an NDA and formal onboarding documentation before accessing the platform. These documents specify the governing law, dispute resolution mechanism, and jurisdiction applicable to all transactions. The platform's compliance framework references AMLO Cap. 615 as a key regulatory baseline.</w:t>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 NOTE: For the precise governing law and arbitration clause, refer to your executed NIHA Platform Agreement or contact legal@nihaogroup.com.</w:t>
            </w:r>
          </w:p>
        </w:tc>
      </w:tr>
    </w:tbl>
    <w:p>
      <w:pPr>
        <w:spacing w:before="0" w:after="0"/>
      </w:pPr>
      <w:r>
        <w:t xml:space="preserve"/>
      </w:r>
    </w:p>
    <w:p>
      <w:pPr>
        <w:spacing w:before="0" w:after="0"/>
      </w:pPr>
      <w:r>
        <w:t xml:space="preserve"/>
      </w:r>
    </w:p>
    <w:p>
      <w:pPr>
        <w:pBdr>
          <w:bottom w:val="single" w:color="10B981" w:sz="4" w:space="4"/>
        </w:pBdr>
        <w:spacing w:before="280" w:after="120"/>
      </w:pPr>
      <w:r>
        <w:rPr>
          <w:rFonts w:ascii="Arial" w:cs="Arial" w:eastAsia="Arial" w:hAnsi="Arial"/>
          <w:b/>
          <w:bCs/>
          <w:color w:val="0A2342"/>
          <w:sz w:val="24"/>
          <w:szCs w:val="24"/>
        </w:rPr>
        <w:t xml:space="preserve">5. Verification &amp; Proof</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Can the platform provide evidence of EUAs held in its accounts before purchase?</w:t>
      </w:r>
    </w:p>
    <w:p>
      <w:pPr>
        <w:spacing w:before="60" w:after="100"/>
        <w:ind w:left="360"/>
      </w:pPr>
      <w:r>
        <w:rPr>
          <w:rFonts w:ascii="Arial" w:cs="Arial" w:eastAsia="Arial" w:hAnsi="Arial"/>
          <w:color w:val="1A1A1A"/>
          <w:sz w:val="20"/>
          <w:szCs w:val="20"/>
        </w:rPr>
        <w:t xml:space="preserve">Yes. The platform maintains real-time EUA and CEA holdings at the entity level, with balances sourced from the EU Union Registry and verified against the platform's internal ledger. Pre-trade balance verification is available to authenticated clients via the platform dashboard. For institutional counterparties requiring formal proof of holdings prior to a transaction, please contact your account representative who can arrange the appropriate documentation.</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Will you receive registry-level confirmation of transfer directly into your nominated EU ETS account?</w:t>
      </w:r>
    </w:p>
    <w:p>
      <w:pPr>
        <w:spacing w:before="60" w:after="100"/>
        <w:ind w:left="360"/>
      </w:pPr>
      <w:r>
        <w:rPr>
          <w:rFonts w:ascii="Arial" w:cs="Arial" w:eastAsia="Arial" w:hAnsi="Arial"/>
          <w:color w:val="1A1A1A"/>
          <w:sz w:val="20"/>
          <w:szCs w:val="20"/>
        </w:rPr>
        <w:t xml:space="preserve">Yes. Upon settlement completion (status: SETTLED), clients receive registry-level confirmation of the EUA transfer into their nominated EU ETS registry account. The settlement process tracks each transfer through AT_CUSTODY (certificates held pending final delivery) and SETTLED (confirmed registry transfer) stages, providing a clear and auditable proof of delivery.</w:t>
      </w:r>
    </w:p>
    <w:p>
      <w:pPr>
        <w:spacing w:before="0" w:after="0"/>
      </w:pPr>
      <w:r>
        <w:t xml:space="preserve"/>
      </w:r>
    </w:p>
    <w:p>
      <w:pPr>
        <w:spacing w:before="160" w:after="60"/>
        <w:ind w:left="360"/>
      </w:pPr>
      <w:r>
        <w:rPr>
          <w:rFonts w:ascii="Arial" w:cs="Arial" w:eastAsia="Arial" w:hAnsi="Arial"/>
          <w:b/>
          <w:bCs/>
          <w:i/>
          <w:iCs/>
          <w:color w:val="1A3A5C"/>
          <w:sz w:val="20"/>
          <w:szCs w:val="20"/>
        </w:rPr>
        <w:t xml:space="preserve">Q: Is there an audit trail for transactions carried out on the platform?</w:t>
      </w:r>
    </w:p>
    <w:p>
      <w:pPr>
        <w:spacing w:before="60" w:after="100"/>
        <w:ind w:left="360"/>
      </w:pPr>
      <w:r>
        <w:rPr>
          <w:rFonts w:ascii="Arial" w:cs="Arial" w:eastAsia="Arial" w:hAnsi="Arial"/>
          <w:color w:val="1A1A1A"/>
          <w:sz w:val="20"/>
          <w:szCs w:val="20"/>
        </w:rPr>
        <w:t xml:space="preserve">Yes — NIHA Carbon maintains a comprehensive, immutable audit trail for all platform activity:</w:t>
      </w:r>
    </w:p>
    <w:p>
      <w:pPr>
        <w:pStyle w:val="ListParagraph"/>
        <w:numPr>
          <w:ilvl w:val="0"/>
          <w:numId w:val="2"/>
        </w:numPr>
        <w:spacing w:before="40" w:after="40"/>
        <w:ind w:left="720" w:hanging="360"/>
      </w:pPr>
      <w:r>
        <w:rPr>
          <w:rFonts w:ascii="Arial" w:cs="Arial" w:eastAsia="Arial" w:hAnsi="Arial"/>
          <w:color w:val="1A1A1A"/>
          <w:sz w:val="20"/>
          <w:szCs w:val="20"/>
        </w:rPr>
        <w:t xml:space="preserve">Every deposit, trade, settlement, and admin action generates a ticket with action type, entity, timestamp, and reference</w:t>
      </w:r>
    </w:p>
    <w:p>
      <w:pPr>
        <w:pStyle w:val="ListParagraph"/>
        <w:numPr>
          <w:ilvl w:val="0"/>
          <w:numId w:val="2"/>
        </w:numPr>
        <w:spacing w:before="40" w:after="40"/>
        <w:ind w:left="720" w:hanging="360"/>
      </w:pPr>
      <w:r>
        <w:rPr>
          <w:rFonts w:ascii="Arial" w:cs="Arial" w:eastAsia="Arial" w:hAnsi="Arial"/>
          <w:color w:val="1A1A1A"/>
          <w:sz w:val="20"/>
          <w:szCs w:val="20"/>
        </w:rPr>
        <w:t xml:space="preserve">Settlement statuses are tracked through 5 distinct stages with timestamps at each transition</w:t>
      </w:r>
    </w:p>
    <w:p>
      <w:pPr>
        <w:pStyle w:val="ListParagraph"/>
        <w:numPr>
          <w:ilvl w:val="0"/>
          <w:numId w:val="2"/>
        </w:numPr>
        <w:spacing w:before="40" w:after="40"/>
        <w:ind w:left="720" w:hanging="360"/>
      </w:pPr>
      <w:r>
        <w:rPr>
          <w:rFonts w:ascii="Arial" w:cs="Arial" w:eastAsia="Arial" w:hAnsi="Arial"/>
          <w:color w:val="1A1A1A"/>
          <w:sz w:val="20"/>
          <w:szCs w:val="20"/>
        </w:rPr>
        <w:t xml:space="preserve">Deposit statuses are tracked through PENDING → CONFIRMED → ON_HOLD → CLEARED</w:t>
      </w:r>
    </w:p>
    <w:p>
      <w:pPr>
        <w:pStyle w:val="ListParagraph"/>
        <w:numPr>
          <w:ilvl w:val="0"/>
          <w:numId w:val="2"/>
        </w:numPr>
        <w:spacing w:before="40" w:after="40"/>
        <w:ind w:left="720" w:hanging="360"/>
      </w:pPr>
      <w:r>
        <w:rPr>
          <w:rFonts w:ascii="Arial" w:cs="Arial" w:eastAsia="Arial" w:hAnsi="Arial"/>
          <w:color w:val="1A1A1A"/>
          <w:sz w:val="20"/>
          <w:szCs w:val="20"/>
        </w:rPr>
        <w:t xml:space="preserve">All KYC documents and declarations are stored with a 7-year retention period per AMLO Cap. 615</w:t>
      </w:r>
    </w:p>
    <w:p>
      <w:pPr>
        <w:pStyle w:val="ListParagraph"/>
        <w:numPr>
          <w:ilvl w:val="0"/>
          <w:numId w:val="2"/>
        </w:numPr>
        <w:spacing w:before="40" w:after="40"/>
        <w:ind w:left="720" w:hanging="360"/>
      </w:pPr>
      <w:r>
        <w:rPr>
          <w:rFonts w:ascii="Arial" w:cs="Arial" w:eastAsia="Arial" w:hAnsi="Arial"/>
          <w:color w:val="1A1A1A"/>
          <w:sz w:val="20"/>
          <w:szCs w:val="20"/>
        </w:rPr>
        <w:t xml:space="preserve">Clients can request a full transaction history export at any time</w:t>
      </w:r>
    </w:p>
    <w:p>
      <w:pPr>
        <w:pStyle w:val="ListParagraph"/>
        <w:numPr>
          <w:ilvl w:val="0"/>
          <w:numId w:val="2"/>
        </w:numPr>
        <w:spacing w:before="40" w:after="40"/>
        <w:ind w:left="720" w:hanging="360"/>
      </w:pPr>
      <w:r>
        <w:rPr>
          <w:rFonts w:ascii="Arial" w:cs="Arial" w:eastAsia="Arial" w:hAnsi="Arial"/>
          <w:color w:val="1A1A1A"/>
          <w:sz w:val="20"/>
          <w:szCs w:val="20"/>
        </w:rPr>
        <w:t xml:space="preserve">System-level audit logs are accessible to compliance officers for regulatory reporting</w:t>
      </w:r>
    </w:p>
    <w:p>
      <w:pPr>
        <w:spacing w:before="0" w:after="0"/>
      </w:pPr>
      <w:r>
        <w:t xml:space="preserve"/>
      </w:r>
    </w:p>
    <w:p>
      <w:pPr>
        <w:spacing w:before="0" w:after="0"/>
      </w:pPr>
      <w:r>
        <w:t xml:space="preserve"/>
      </w:r>
    </w:p>
    <w:p>
      <w:r>
        <w:br w:type="page"/>
      </w:r>
    </w:p>
    <w:p>
      <w:pPr>
        <w:pBdr>
          <w:bottom w:val="single" w:color="10B981" w:sz="4" w:space="4"/>
        </w:pBdr>
        <w:spacing w:before="280" w:after="120"/>
      </w:pPr>
      <w:r>
        <w:rPr>
          <w:rFonts w:ascii="Arial" w:cs="Arial" w:eastAsia="Arial" w:hAnsi="Arial"/>
          <w:b/>
          <w:bCs/>
          <w:color w:val="0A2342"/>
          <w:sz w:val="24"/>
          <w:szCs w:val="24"/>
        </w:rPr>
        <w:t xml:space="preserve">Important Disclaimers</w:t>
      </w:r>
    </w:p>
    <w:p>
      <w:pPr>
        <w:spacing w:before="60" w:after="100"/>
        <w:ind w:left="360"/>
      </w:pPr>
      <w:r>
        <w:rPr>
          <w:rFonts w:ascii="Arial" w:cs="Arial" w:eastAsia="Arial" w:hAnsi="Arial"/>
          <w:color w:val="1A1A1A"/>
          <w:sz w:val="20"/>
          <w:szCs w:val="20"/>
        </w:rPr>
        <w:t xml:space="preserve">This document was prepared by NIHA Carbon Trading Platform for informational purposes in response to client due diligence enquiries. While every effort has been made to ensure accuracy, certain regulatory and licensing details should be independently verified with NIHA's compliance and legal team.</w:t>
      </w:r>
    </w:p>
    <w:p>
      <w:pPr>
        <w:spacing w:before="0" w:after="0"/>
      </w:pPr>
      <w:r>
        <w:t xml:space="preserve"/>
      </w:r>
    </w:p>
    <w:p>
      <w:pPr>
        <w:spacing w:before="60" w:after="100"/>
        <w:ind w:left="360"/>
      </w:pPr>
      <w:r>
        <w:rPr>
          <w:rFonts w:ascii="Arial" w:cs="Arial" w:eastAsia="Arial" w:hAnsi="Arial"/>
          <w:color w:val="1A1A1A"/>
          <w:sz w:val="20"/>
          <w:szCs w:val="20"/>
        </w:rPr>
        <w:t xml:space="preserve">For specific regulatory certifications, licence copies, KYC/AML policy documents, or Platform Agreements, please contact:</w:t>
      </w:r>
    </w:p>
    <w:p>
      <w:pPr>
        <w:spacing w:before="0" w:after="0"/>
      </w:pPr>
      <w:r>
        <w:t xml:space="preserve"/>
      </w:r>
    </w:p>
    <w:p>
      <w:pPr>
        <w:spacing w:before="60" w:after="60"/>
        <w:ind w:left="360"/>
      </w:pPr>
      <w:r>
        <w:rPr>
          <w:rFonts w:ascii="Arial" w:cs="Arial" w:eastAsia="Arial" w:hAnsi="Arial"/>
          <w:b/>
          <w:bCs/>
          <w:color w:val="1A3A5C"/>
          <w:sz w:val="20"/>
          <w:szCs w:val="20"/>
        </w:rPr>
        <w:t xml:space="preserve">Compliance: compliance@nihaogroup.com</w:t>
      </w:r>
    </w:p>
    <w:p>
      <w:pPr>
        <w:spacing w:before="60" w:after="60"/>
        <w:ind w:left="360"/>
      </w:pPr>
      <w:r>
        <w:rPr>
          <w:rFonts w:ascii="Arial" w:cs="Arial" w:eastAsia="Arial" w:hAnsi="Arial"/>
          <w:b/>
          <w:bCs/>
          <w:color w:val="1A3A5C"/>
          <w:sz w:val="20"/>
          <w:szCs w:val="20"/>
        </w:rPr>
        <w:t xml:space="preserve">Legal: legal@nihaogroup.com</w:t>
      </w:r>
    </w:p>
    <w:p>
      <w:pPr>
        <w:spacing w:before="60" w:after="60"/>
        <w:ind w:left="360"/>
      </w:pPr>
      <w:r>
        <w:rPr>
          <w:rFonts w:ascii="Arial" w:cs="Arial" w:eastAsia="Arial" w:hAnsi="Arial"/>
          <w:b/>
          <w:bCs/>
          <w:color w:val="1A3A5C"/>
          <w:sz w:val="20"/>
          <w:szCs w:val="20"/>
        </w:rPr>
        <w:t xml:space="preserve">Account Management: info@nihaogroup.com</w:t>
      </w:r>
    </w:p>
    <w:p>
      <w:pPr>
        <w:spacing w:before="0" w:after="0"/>
      </w:pPr>
      <w:r>
        <w:t xml:space="preserve"/>
      </w:r>
    </w:p>
    <w:p>
      <w:pPr>
        <w:spacing w:before="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CBD5E0" w:sz="1"/>
              <w:bottom w:val="single" w:color="CBD5E0" w:sz="1"/>
              <w:right w:val="single" w:color="CBD5E0" w:sz="1"/>
            </w:tcBorders>
            <w:shd w:fill="FEF3C7" w:val="clear"/>
            <w:tcMar>
              <w:top w:type="dxa" w:w="100"/>
              <w:left w:type="dxa" w:w="180"/>
              <w:bottom w:type="dxa" w:w="100"/>
              <w:right w:type="dxa" w:w="180"/>
            </w:tcMar>
          </w:tcPr>
          <w:p>
            <w:r>
              <w:rPr>
                <w:rFonts w:ascii="Arial" w:cs="Arial" w:eastAsia="Arial" w:hAnsi="Arial"/>
                <w:color w:val="92400E"/>
                <w:sz w:val="18"/>
                <w:szCs w:val="18"/>
              </w:rPr>
              <w:t xml:space="preserve">⚠ NOTE: This document is confidential and intended solely for the named recipient. It does not constitute investment advice, a prospectus, or a financial promotion. NIHA Carbon does not provide investment advice.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jc w:val="right"/>
    </w:pPr>
    <w:r>
      <w:rPr>
        <w:rFonts w:ascii="Arial" w:cs="Arial" w:eastAsia="Arial" w:hAnsi="Arial"/>
        <w:color w:val="888888"/>
        <w:sz w:val="16"/>
        <w:szCs w:val="16"/>
      </w:rPr>
      <w:t xml:space="preserve">NIHA Carbon — Client Due Diligence Q&amp;A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0A23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2026-02-22T00:27:02.987Z</dcterms:created>
  <dcterms:modified xsi:type="dcterms:W3CDTF">2026-02-22T00:27:02.987Z</dcterms:modified>
</cp:coreProperties>
</file>

<file path=docProps/custom.xml><?xml version="1.0" encoding="utf-8"?>
<Properties xmlns="http://schemas.openxmlformats.org/officeDocument/2006/custom-properties" xmlns:vt="http://schemas.openxmlformats.org/officeDocument/2006/docPropsVTypes"/>
</file>