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color w:val="1B2A4A"/>
          <w:sz w:val="36"/>
          <w:szCs w:val="36"/>
        </w:rPr>
        <w:t xml:space="preserve">ITALY NIHAO GROUP LIMITED</w:t>
      </w:r>
    </w:p>
    <w:p>
      <w:pPr>
        <w:spacing w:after="200"/>
        <w:jc w:val="center"/>
      </w:pPr>
      <w:r>
        <w:rPr>
          <w:rFonts w:ascii="Times New Roman" w:cs="Times New Roman" w:eastAsia="Times New Roman" w:hAnsi="Times New Roman"/>
          <w:color w:val="2E75B6"/>
          <w:sz w:val="24"/>
          <w:szCs w:val="24"/>
        </w:rPr>
        <w:t xml:space="preserve">CARBON PORTFOLIO MANAGEMENT SERVICES</w:t>
      </w:r>
    </w:p>
    <w:p>
      <w:pPr>
        <w:pBdr>
          <w:bottom w:val="single" w:color="1B2A4A" w:sz="3" w:space="10"/>
        </w:pBdr>
        <w:spacing w:after="600"/>
        <w:jc w:val="center"/>
      </w:pPr>
      <w:r>
        <w:rPr>
          <w:rFonts w:ascii="Times New Roman" w:cs="Times New Roman" w:eastAsia="Times New Roman" w:hAnsi="Times New Roman"/>
          <w:b/>
          <w:bCs/>
          <w:color w:val="1B2A4A"/>
          <w:sz w:val="32"/>
          <w:szCs w:val="32"/>
        </w:rPr>
        <w:t xml:space="preserve">MONTHLY PORTFOLIO STATEMENT</w:t>
      </w:r>
    </w:p>
    <w:p>
      <w:pPr>
        <w:spacing w:after="100"/>
        <w:jc w:val="center"/>
      </w:pPr>
      <w:r>
        <w:rPr>
          <w:rFonts w:ascii="Times New Roman" w:cs="Times New Roman" w:eastAsia="Times New Roman" w:hAnsi="Times New Roman"/>
          <w:color w:val="333333"/>
          <w:sz w:val="24"/>
          <w:szCs w:val="24"/>
        </w:rPr>
        <w:t xml:space="preserve">Statement Period: 1 January 2026 — 31 January 2026</w:t>
      </w:r>
    </w:p>
    <w:p>
      <w:pPr>
        <w:spacing w:after="100"/>
        <w:jc w:val="center"/>
      </w:pPr>
      <w:r>
        <w:rPr>
          <w:rFonts w:ascii="Times New Roman" w:cs="Times New Roman" w:eastAsia="Times New Roman" w:hAnsi="Times New Roman"/>
          <w:color w:val="666666"/>
          <w:sz w:val="22"/>
          <w:szCs w:val="22"/>
        </w:rPr>
        <w:t xml:space="preserve">Issue Date: 3 February 2026</w:t>
      </w:r>
    </w:p>
    <w:p>
      <w:pPr>
        <w:spacing w:after="400"/>
        <w:jc w:val="center"/>
      </w:pPr>
      <w:r>
        <w:rPr>
          <w:rFonts w:ascii="Times New Roman" w:cs="Times New Roman" w:eastAsia="Times New Roman" w:hAnsi="Times New Roman"/>
          <w:color w:val="666666"/>
          <w:sz w:val="20"/>
          <w:szCs w:val="20"/>
        </w:rPr>
        <w:t xml:space="preserve">Statement Reference: NIHA-PS-2026-01-0039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Client:</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Greenfield Carbon Solutions GmbH</w:t>
            </w:r>
          </w:p>
        </w:tc>
      </w:tr>
      <w:tr>
        <w:tc>
          <w:tcPr>
            <w:tcW w:type="pct" w:w="30%"/>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Client Reference: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NIHA-CLT-2026-0039</w:t>
            </w:r>
          </w:p>
        </w:tc>
      </w:tr>
      <w:tr>
        <w:tc>
          <w:tcPr>
            <w:tcW w:type="pct" w:w="30%"/>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MSA Reference: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NIHA-MSA-2025-0039 (dated 8 November 2025)</w:t>
            </w:r>
          </w:p>
        </w:tc>
      </w:tr>
      <w:tr>
        <w:tc>
          <w:tcPr>
            <w:tcW w:type="pct" w:w="30%"/>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Custody Agreement:</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NIHA-CCA-2025-0039</w:t>
            </w:r>
          </w:p>
        </w:tc>
      </w:tr>
      <w:tr>
        <w:tc>
          <w:tcPr>
            <w:tcW w:type="pct" w:w="30%"/>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Risk Profile: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Moderate — Carbon Compliance Focus</w:t>
            </w:r>
          </w:p>
        </w:tc>
      </w:tr>
      <w:tr>
        <w:tc>
          <w:tcPr>
            <w:tcW w:type="pct" w:w="30%"/>
            <w:tcBorders>
              <w:top w:val="single" w:color="CCCCCC" w:sz="1"/>
              <w:left w:val="single" w:color="CCCCCC" w:sz="1"/>
              <w:bottom w:val="single" w:color="CCCCCC" w:sz="1"/>
              <w:right w:val="single" w:color="CCCCCC" w:sz="1"/>
            </w:tcBorders>
            <w:shd w:color="F0F2F5" w:val="solid"/>
          </w:tcPr>
          <w:p>
            <w:pPr>
              <w:spacing w:before="50" w:after="50"/>
            </w:pPr>
            <w:r>
              <w:rPr>
                <w:rFonts w:ascii="Times New Roman" w:cs="Times New Roman" w:eastAsia="Times New Roman" w:hAnsi="Times New Roman"/>
                <w:b/>
                <w:bCs/>
                <w:color w:val="1B2A4A"/>
                <w:sz w:val="20"/>
                <w:szCs w:val="20"/>
              </w:rPr>
              <w:t xml:space="preserve">Relationship Manager:</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 Carbon Trading Desk</w:t>
            </w:r>
          </w:p>
        </w:tc>
      </w:tr>
    </w:tbl>
    <w:p>
      <w:pPr>
        <w:spacing w:before="600" w:after="200"/>
      </w:pPr>
      <w:r>
        <w:rPr>
          <w:rFonts w:ascii="Times New Roman" w:cs="Times New Roman" w:eastAsia="Times New Roman" w:hAnsi="Times New Roman"/>
          <w:b/>
          <w:bCs/>
          <w:color w:val="C0392B"/>
          <w:sz w:val="24"/>
          <w:szCs w:val="24"/>
        </w:rPr>
        <w:t xml:space="preserve">STRICTLY CONFIDENTIAL</w:t>
      </w:r>
      <w:r>
        <w:rPr>
          <w:rFonts w:ascii="Times New Roman" w:cs="Times New Roman" w:eastAsia="Times New Roman" w:hAnsi="Times New Roman"/>
          <w:color w:val="666666"/>
          <w:sz w:val="20"/>
          <w:szCs w:val="20"/>
        </w:rPr>
        <w:t xml:space="preserve"> — This statement is intended solely for the named client and authorised representatives.</w:t>
      </w:r>
    </w:p>
    <w:p>
      <w:r>
        <w:br w:type="page"/>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1. PORTFOLIO SUMMARY</w:t>
      </w:r>
    </w:p>
    <w:p>
      <w:pPr>
        <w:spacing w:before="0" w:after="200"/>
      </w:pPr>
      <w:r>
        <w:rPr>
          <w:rFonts w:ascii="Times New Roman" w:cs="Times New Roman" w:eastAsia="Times New Roman" w:hAnsi="Times New Roman"/>
          <w:color w:val="333333"/>
          <w:sz w:val="22"/>
          <w:szCs w:val="22"/>
        </w:rPr>
        <w:t xml:space="preserve">As at 31 January 2026, the following carbon assets are held by NIHA on behalf of the Client under the terms of the Custody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22%"/>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Instrument</w:t>
            </w:r>
          </w:p>
        </w:tc>
        <w:tc>
          <w:tcPr>
            <w:tcW w:type="pct" w:w="18%"/>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Registry</w:t>
            </w:r>
          </w:p>
        </w:tc>
        <w:tc>
          <w:tcPr>
            <w:tcW w:type="pct" w:w="14%"/>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Volume (whole units)</w:t>
            </w:r>
          </w:p>
        </w:tc>
        <w:tc>
          <w:tcPr>
            <w:tcW w:type="pct" w:w="12%"/>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Avg. Cost</w:t>
            </w:r>
          </w:p>
        </w:tc>
        <w:tc>
          <w:tcPr>
            <w:tcW w:type="pct" w:w="12%"/>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Mkt Price</w:t>
            </w:r>
          </w:p>
        </w:tc>
        <w:tc>
          <w:tcPr>
            <w:tcW w:type="pct" w:w="12%"/>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Mkt Value</w:t>
            </w:r>
          </w:p>
        </w:tc>
        <w:tc>
          <w:tcPr>
            <w:tcW w:type="pct" w:w="10%"/>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P&amp;L %</w:t>
            </w:r>
          </w:p>
        </w:tc>
      </w:tr>
      <w:tr>
        <w:tc>
          <w:tcPr>
            <w:tcW w:type="pct" w:w="2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EUA (Phase IV)</w:t>
            </w:r>
          </w:p>
        </w:tc>
        <w:tc>
          <w:tcPr>
            <w:tcW w:type="pct" w:w="18%"/>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EUTL</w:t>
            </w:r>
          </w:p>
        </w:tc>
        <w:tc>
          <w:tcPr>
            <w:tcW w:type="pct" w:w="14%"/>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18,500</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€64.71</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€69.85</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€1,292,225</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1B7A3D"/>
                <w:sz w:val="18"/>
                <w:szCs w:val="18"/>
              </w:rPr>
              <w:t xml:space="preserve">+7.94%</w:t>
            </w:r>
          </w:p>
        </w:tc>
      </w:tr>
      <w:tr>
        <w:tc>
          <w:tcPr>
            <w:tcW w:type="pct" w:w="2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CEA — Shenzhen Pilot</w:t>
            </w:r>
          </w:p>
        </w:tc>
        <w:tc>
          <w:tcPr>
            <w:tcW w:type="pct" w:w="18%"/>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CEEX</w:t>
            </w:r>
          </w:p>
        </w:tc>
        <w:tc>
          <w:tcPr>
            <w:tcW w:type="pct" w:w="14%"/>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120,000</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¥68.20</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¥73.10</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¥8,772,000</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1B7A3D"/>
                <w:sz w:val="18"/>
                <w:szCs w:val="18"/>
              </w:rPr>
              <w:t xml:space="preserve">+7.18%</w:t>
            </w:r>
          </w:p>
        </w:tc>
      </w:tr>
      <w:tr>
        <w:tc>
          <w:tcPr>
            <w:tcW w:type="pct" w:w="2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VCC (GS-VER 2024)</w:t>
            </w:r>
          </w:p>
        </w:tc>
        <w:tc>
          <w:tcPr>
            <w:tcW w:type="pct" w:w="18%"/>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Core Climate</w:t>
            </w:r>
          </w:p>
        </w:tc>
        <w:tc>
          <w:tcPr>
            <w:tcW w:type="pct" w:w="14%"/>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25,000</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$7.90</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$8.60</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$215,000</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1B7A3D"/>
                <w:sz w:val="18"/>
                <w:szCs w:val="18"/>
              </w:rPr>
              <w:t xml:space="preserve">+8.86%</w:t>
            </w:r>
          </w:p>
        </w:tc>
      </w:tr>
      <w:tr>
        <w:tc>
          <w:tcPr>
            <w:tcW w:type="pct" w:w="2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VCC (Verra VCU 2023)</w:t>
            </w:r>
          </w:p>
        </w:tc>
        <w:tc>
          <w:tcPr>
            <w:tcW w:type="pct" w:w="18%"/>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Core Climate</w:t>
            </w:r>
          </w:p>
        </w:tc>
        <w:tc>
          <w:tcPr>
            <w:tcW w:type="pct" w:w="14%"/>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8,000</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$5.10</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$5.45</w:t>
            </w:r>
          </w:p>
        </w:tc>
        <w:tc>
          <w:tcPr>
            <w:tcW w:type="pct" w:w="12%"/>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$43,600</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1B7A3D"/>
                <w:sz w:val="18"/>
                <w:szCs w:val="18"/>
              </w:rPr>
              <w:t xml:space="preserve">+6.86%</w:t>
            </w:r>
          </w:p>
        </w:tc>
      </w:tr>
    </w:tbl>
    <w:p>
      <w:pPr>
        <w:spacing w:before="200" w:after="100"/>
      </w:pPr>
      <w:r>
        <w:rPr>
          <w:rFonts w:ascii="Times New Roman" w:cs="Times New Roman" w:eastAsia="Times New Roman" w:hAnsi="Times New Roman"/>
          <w:b/>
          <w:bCs/>
          <w:color w:val="1B2A4A"/>
          <w:sz w:val="22"/>
          <w:szCs w:val="22"/>
        </w:rPr>
        <w:t xml:space="preserve">Total Portfolio Estimated Value (EUR equivalent): approximately €2,147,800</w:t>
      </w:r>
    </w:p>
    <w:p>
      <w:pPr>
        <w:spacing w:before="0" w:after="200"/>
      </w:pPr>
      <w:r>
        <w:rPr>
          <w:rFonts w:ascii="Times New Roman" w:cs="Times New Roman" w:eastAsia="Times New Roman" w:hAnsi="Times New Roman"/>
          <w:b/>
          <w:bCs/>
          <w:color w:val="1B7A3D"/>
          <w:sz w:val="22"/>
          <w:szCs w:val="22"/>
        </w:rPr>
        <w:t xml:space="preserve">Weighted Average Portfolio Return (MTD): +7.62%</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2. CASH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Currency</w:t>
            </w:r>
          </w:p>
        </w:tc>
        <w:tc>
          <w:tcPr>
            <w:tcW w:type="pct" w:w="35%"/>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Account</w:t>
            </w:r>
          </w:p>
        </w:tc>
        <w:tc>
          <w:tcPr>
            <w:tcW w:type="pct" w:w="20%"/>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Balance</w:t>
            </w:r>
          </w:p>
        </w:tc>
        <w:tc>
          <w:tcPr>
            <w:tcW w:type="pct" w:w="20%"/>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Status</w:t>
            </w:r>
          </w:p>
        </w:tc>
      </w:tr>
      <w:tr>
        <w:tc>
          <w:tcPr>
            <w:tcW w:type="pct" w:w="2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EUR</w:t>
            </w:r>
          </w:p>
        </w:tc>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HSBC HK — Segregated ****8847</w:t>
            </w:r>
          </w:p>
        </w:tc>
        <w:tc>
          <w:tcPr>
            <w:tcW w:type="pct" w:w="2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€124,500.00</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1B7A3D"/>
                <w:sz w:val="18"/>
                <w:szCs w:val="18"/>
              </w:rPr>
              <w:t xml:space="preserve">Available</w:t>
            </w:r>
          </w:p>
        </w:tc>
      </w:tr>
      <w:tr>
        <w:tc>
          <w:tcPr>
            <w:tcW w:type="pct" w:w="2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USD</w:t>
            </w:r>
          </w:p>
        </w:tc>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HSBC HK — Segregated ****8849</w:t>
            </w:r>
          </w:p>
        </w:tc>
        <w:tc>
          <w:tcPr>
            <w:tcW w:type="pct" w:w="2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$42,300.00</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1B7A3D"/>
                <w:sz w:val="18"/>
                <w:szCs w:val="18"/>
              </w:rPr>
              <w:t xml:space="preserve">Available</w:t>
            </w:r>
          </w:p>
        </w:tc>
      </w:tr>
      <w:tr>
        <w:tc>
          <w:tcPr>
            <w:tcW w:type="pct" w:w="2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CNY</w:t>
            </w:r>
          </w:p>
        </w:tc>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Bank of China HK — ****6621</w:t>
            </w:r>
          </w:p>
        </w:tc>
        <w:tc>
          <w:tcPr>
            <w:tcW w:type="pct" w:w="2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b/>
                <w:bCs/>
                <w:color w:val="333333"/>
                <w:sz w:val="18"/>
                <w:szCs w:val="18"/>
              </w:rPr>
              <w:t xml:space="preserve">¥380,000.00</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1B7A3D"/>
                <w:sz w:val="18"/>
                <w:szCs w:val="18"/>
              </w:rPr>
              <w:t xml:space="preserve">Available</w:t>
            </w:r>
          </w:p>
        </w:tc>
      </w:tr>
    </w:tbl>
    <w:p>
      <w:pPr>
        <w:spacing w:before="0" w:after="200"/>
      </w:pPr>
      <w:r>
        <w:rPr>
          <w:rFonts w:ascii="Times New Roman" w:cs="Times New Roman" w:eastAsia="Times New Roman" w:hAnsi="Times New Roman"/>
          <w:i/>
          <w:iCs/>
          <w:color w:val="666666"/>
          <w:sz w:val="22"/>
          <w:szCs w:val="22"/>
        </w:rPr>
        <w:t xml:space="preserve">All client funds are held in segregated accounts in accordance with the Custody Agreement. Client funds are never commingled with NIHA operational accounts.</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3. TRANSACTION ACTIVITY —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Date</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Ref.</w:t>
            </w:r>
          </w:p>
        </w:tc>
        <w:tc>
          <w:tcPr>
            <w:tcW w:type="pct" w:w="20%"/>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Type</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Instrument</w:t>
            </w:r>
          </w:p>
        </w:tc>
        <w:tc>
          <w:tcPr>
            <w:tcW w:type="pct" w:w="10%"/>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Vol.</w:t>
            </w:r>
          </w:p>
        </w:tc>
        <w:tc>
          <w:tcPr>
            <w:tcW w:type="pct" w:w="10%"/>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Price</w:t>
            </w:r>
          </w:p>
        </w:tc>
        <w:tc>
          <w:tcPr>
            <w:tcW w:type="pct" w:w="16%"/>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Amount</w:t>
            </w:r>
          </w:p>
        </w:tc>
      </w:tr>
      <w:tr>
        <w:tc>
          <w:tcPr>
            <w:tcW w:type="pct" w:w="1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06-Jan</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TC-2026-0134</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Buy — Spot</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EUA</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3,000</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€67.90</w:t>
            </w:r>
          </w:p>
        </w:tc>
        <w:tc>
          <w:tcPr>
            <w:tcW w:type="pct" w:w="16%"/>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€203,700.00</w:t>
            </w:r>
          </w:p>
        </w:tc>
      </w:tr>
      <w:tr>
        <w:tc>
          <w:tcPr>
            <w:tcW w:type="pct" w:w="1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10-Jan</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TC-2026-0139</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Buy — Spot</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CEA (SZ)</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40,000</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¥71.20</w:t>
            </w:r>
          </w:p>
        </w:tc>
        <w:tc>
          <w:tcPr>
            <w:tcW w:type="pct" w:w="16%"/>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¥2,848,000</w:t>
            </w:r>
          </w:p>
        </w:tc>
      </w:tr>
      <w:tr>
        <w:tc>
          <w:tcPr>
            <w:tcW w:type="pct" w:w="1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14-Jan</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TC-2026-0147</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Buy — Spot</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EUA</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5,000</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€68.42</w:t>
            </w:r>
          </w:p>
        </w:tc>
        <w:tc>
          <w:tcPr>
            <w:tcW w:type="pct" w:w="16%"/>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€342,100.00</w:t>
            </w:r>
          </w:p>
        </w:tc>
      </w:tr>
      <w:tr>
        <w:tc>
          <w:tcPr>
            <w:tcW w:type="pct" w:w="1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17-Jan</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TC-2026-0151</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Sell — Spot</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EUA</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2,000</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€68.95</w:t>
            </w:r>
          </w:p>
        </w:tc>
        <w:tc>
          <w:tcPr>
            <w:tcW w:type="pct" w:w="16%"/>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€137,900.00</w:t>
            </w:r>
          </w:p>
        </w:tc>
      </w:tr>
      <w:tr>
        <w:tc>
          <w:tcPr>
            <w:tcW w:type="pct" w:w="1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22-Jan</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TC-2026-0158</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Buy — VCC</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GS-VER</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12,000</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$8.75</w:t>
            </w:r>
          </w:p>
        </w:tc>
        <w:tc>
          <w:tcPr>
            <w:tcW w:type="pct" w:w="16%"/>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$105,000.00</w:t>
            </w:r>
          </w:p>
        </w:tc>
      </w:tr>
      <w:tr>
        <w:tc>
          <w:tcPr>
            <w:tcW w:type="pct" w:w="1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28-Jan</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TC-2026-0163</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Conversion</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CEA→EUA</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85,000→10,005</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0.1177</w:t>
            </w:r>
          </w:p>
        </w:tc>
        <w:tc>
          <w:tcPr>
            <w:tcW w:type="pct" w:w="16%"/>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€692,011.41</w:t>
            </w:r>
          </w:p>
        </w:tc>
      </w:tr>
      <w:tr>
        <w:tc>
          <w:tcPr>
            <w:tcW w:type="pct" w:w="12%"/>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30-Jan</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TC-2026-0171</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Buy — Spot</w:t>
            </w:r>
          </w:p>
        </w:tc>
        <w:tc>
          <w:tcPr>
            <w:tcW w:type="pct" w:w="16%"/>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CEA (SZ)</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35,000</w:t>
            </w:r>
          </w:p>
        </w:tc>
        <w:tc>
          <w:tcPr>
            <w:tcW w:type="pct" w:w="1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¥72.80</w:t>
            </w:r>
          </w:p>
        </w:tc>
        <w:tc>
          <w:tcPr>
            <w:tcW w:type="pct" w:w="16%"/>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¥2,548,000</w:t>
            </w:r>
          </w:p>
        </w:tc>
      </w:tr>
    </w:tbl>
    <w:p>
      <w:pPr>
        <w:spacing w:before="200" w:after="200"/>
      </w:pPr>
      <w:r>
        <w:rPr>
          <w:rFonts w:ascii="Times New Roman" w:cs="Times New Roman" w:eastAsia="Times New Roman" w:hAnsi="Times New Roman"/>
          <w:b/>
          <w:bCs/>
          <w:color w:val="333333"/>
          <w:sz w:val="22"/>
          <w:szCs w:val="22"/>
        </w:rPr>
        <w:t xml:space="preserve">Total Transactions: 7 | Total Volume: 182,005 whole units | Total Fees: EUR 14,847.30</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4. FEE SUMMARY —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Fee Type</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Basis</w:t>
            </w:r>
          </w:p>
        </w:tc>
        <w:tc>
          <w:tcPr>
            <w:tcW w:type="pct" w:w="20%"/>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Amount</w:t>
            </w:r>
          </w:p>
        </w:tc>
        <w:tc>
          <w:tcPr>
            <w:tcW w:type="pct" w:w="15%"/>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Status</w:t>
            </w:r>
          </w:p>
        </w:tc>
      </w:tr>
      <w:tr>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Trading Commission (EUA)</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1.50% of consideration</w:t>
            </w:r>
          </w:p>
        </w:tc>
        <w:tc>
          <w:tcPr>
            <w:tcW w:type="pct" w:w="2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€10,255.50</w:t>
            </w:r>
          </w:p>
        </w:tc>
        <w:tc>
          <w:tcPr>
            <w:tcW w:type="pct" w:w="1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Deducted</w:t>
            </w:r>
          </w:p>
        </w:tc>
      </w:tr>
      <w:tr>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Trading Commission (VCC)</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2.00% of consideration</w:t>
            </w:r>
          </w:p>
        </w:tc>
        <w:tc>
          <w:tcPr>
            <w:tcW w:type="pct" w:w="2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$2,100.00</w:t>
            </w:r>
          </w:p>
        </w:tc>
        <w:tc>
          <w:tcPr>
            <w:tcW w:type="pct" w:w="1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Deducted</w:t>
            </w:r>
          </w:p>
        </w:tc>
      </w:tr>
      <w:tr>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Conversion Fee</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2.50% of EUA delivered value</w:t>
            </w:r>
          </w:p>
        </w:tc>
        <w:tc>
          <w:tcPr>
            <w:tcW w:type="pct" w:w="2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€17,300.29</w:t>
            </w:r>
          </w:p>
        </w:tc>
        <w:tc>
          <w:tcPr>
            <w:tcW w:type="pct" w:w="1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Deducted</w:t>
            </w:r>
          </w:p>
        </w:tc>
      </w:tr>
      <w:tr>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Custody Fee (monthly)</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0.02% of AUM</w:t>
            </w:r>
          </w:p>
        </w:tc>
        <w:tc>
          <w:tcPr>
            <w:tcW w:type="pct" w:w="2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€429.56</w:t>
            </w:r>
          </w:p>
        </w:tc>
        <w:tc>
          <w:tcPr>
            <w:tcW w:type="pct" w:w="1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Invoiced</w:t>
            </w:r>
          </w:p>
        </w:tc>
      </w:tr>
      <w:tr>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Registry Transfer Fees (pass-through)</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At cost</w:t>
            </w:r>
          </w:p>
        </w:tc>
        <w:tc>
          <w:tcPr>
            <w:tcW w:type="pct" w:w="2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€185.00</w:t>
            </w:r>
          </w:p>
        </w:tc>
        <w:tc>
          <w:tcPr>
            <w:tcW w:type="pct" w:w="1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Deducted</w:t>
            </w:r>
          </w:p>
        </w:tc>
      </w:tr>
    </w:tbl>
    <w:p>
      <w:pPr>
        <w:spacing w:before="0" w:after="200"/>
      </w:pPr>
      <w:r>
        <w:rPr>
          <w:rFonts w:ascii="Times New Roman" w:cs="Times New Roman" w:eastAsia="Times New Roman" w:hAnsi="Times New Roman"/>
          <w:i/>
          <w:iCs/>
          <w:color w:val="666666"/>
          <w:sz w:val="22"/>
          <w:szCs w:val="22"/>
        </w:rPr>
        <w:t xml:space="preserve">All fees are charged in accordance with the Fee Schedule annexed to the MSA. Conversion fees include cross-border regulatory costs and SAFE clearance charges.</w:t>
      </w:r>
    </w:p>
    <w:p>
      <w:r>
        <w:br w:type="page"/>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5. MARKET COMMENTARY &amp; OUTLOOK</w:t>
      </w:r>
    </w:p>
    <w:p>
      <w:pPr>
        <w:spacing w:before="0" w:after="150"/>
      </w:pPr>
      <w:r>
        <w:rPr>
          <w:rFonts w:ascii="Times New Roman" w:cs="Times New Roman" w:eastAsia="Times New Roman" w:hAnsi="Times New Roman"/>
          <w:color w:val="333333"/>
          <w:sz w:val="22"/>
          <w:szCs w:val="22"/>
        </w:rPr>
        <w:t xml:space="preserve">EU ETS Market: EUA prices consolidated in the €67–71 range during January 2026, supported by the EU CBAM definitive phase implementation and MSR withdrawal rates. The aviation sector's full inclusion from January 2026 added incremental demand. NIHA expects continued support above €65 through Q1.</w:t>
      </w:r>
    </w:p>
    <w:p>
      <w:pPr>
        <w:spacing w:before="0" w:after="150"/>
      </w:pPr>
      <w:r>
        <w:rPr>
          <w:rFonts w:ascii="Times New Roman" w:cs="Times New Roman" w:eastAsia="Times New Roman" w:hAnsi="Times New Roman"/>
          <w:color w:val="333333"/>
          <w:sz w:val="22"/>
          <w:szCs w:val="22"/>
        </w:rPr>
        <w:t xml:space="preserve">China ETS: The Shenzhen Pilot ETS saw increased foreign investor activity following CEEX's expanded access programme. National ETS reform announcements — including aluminium and cement sector inclusion scheduled for H2 2026 — have strengthened CEA pricing. NIHA's CEA positions are well-positioned for this expansion.</w:t>
      </w:r>
    </w:p>
    <w:p>
      <w:pPr>
        <w:spacing w:before="0" w:after="150"/>
      </w:pPr>
      <w:r>
        <w:rPr>
          <w:rFonts w:ascii="Times New Roman" w:cs="Times New Roman" w:eastAsia="Times New Roman" w:hAnsi="Times New Roman"/>
          <w:color w:val="333333"/>
          <w:sz w:val="22"/>
          <w:szCs w:val="22"/>
        </w:rPr>
        <w:t xml:space="preserve">Voluntary Markets: Gold Standard credits outperformed the broader voluntary market, with GS-VER prices rising 8.9% in January. HKEX Core Climate volumes grew 34% month-on-month. NIHA increased its VCC inventory to capitalise on this trend.</w:t>
      </w:r>
    </w:p>
    <w:p>
      <w:pPr>
        <w:spacing w:before="0" w:after="200"/>
      </w:pPr>
      <w:r>
        <w:rPr>
          <w:rFonts w:ascii="Times New Roman" w:cs="Times New Roman" w:eastAsia="Times New Roman" w:hAnsi="Times New Roman"/>
          <w:color w:val="333333"/>
          <w:sz w:val="22"/>
          <w:szCs w:val="22"/>
        </w:rPr>
        <w:t xml:space="preserve">Cross-Border Conversion: The CEA/EUA ratio tightened slightly from 0.1165 to 0.1183, reflecting improved market perception of China ETS reform credibility. NIHA executed 1 conversion trade during the period and anticipates increased conversion demand as CBAM compliance drives EU importers to seek carbon cost offsets.</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6. PORTFOLIO RISK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Metric</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right"/>
            </w:pPr>
            <w:r>
              <w:rPr>
                <w:rFonts w:ascii="Times New Roman" w:cs="Times New Roman" w:eastAsia="Times New Roman" w:hAnsi="Times New Roman"/>
                <w:b/>
                <w:bCs/>
                <w:color w:val="FFFFFF"/>
                <w:sz w:val="18"/>
                <w:szCs w:val="18"/>
              </w:rPr>
              <w:t xml:space="preserve">Value</w:t>
            </w:r>
          </w:p>
        </w:tc>
        <w:tc>
          <w:tcPr>
            <w:tcW w:type="pct" w:w="30%"/>
            <w:tcBorders>
              <w:top w:val="single" w:color="CCCCCC" w:sz="1"/>
              <w:left w:val="single" w:color="CCCCCC" w:sz="1"/>
              <w:bottom w:val="single" w:color="CCCCCC" w:sz="1"/>
              <w:right w:val="single" w:color="CCCCCC" w:sz="1"/>
            </w:tcBorders>
            <w:shd w:color="1B2A4A" w:val="solid"/>
          </w:tcPr>
          <w:p>
            <w:pPr>
              <w:spacing w:before="60" w:after="60"/>
              <w:jc w:val="left"/>
            </w:pPr>
            <w:r>
              <w:rPr>
                <w:rFonts w:ascii="Times New Roman" w:cs="Times New Roman" w:eastAsia="Times New Roman" w:hAnsi="Times New Roman"/>
                <w:b/>
                <w:bCs/>
                <w:color w:val="FFFFFF"/>
                <w:sz w:val="18"/>
                <w:szCs w:val="18"/>
              </w:rPr>
              <w:t xml:space="preserve">Assessment</w:t>
            </w:r>
          </w:p>
        </w:tc>
      </w:tr>
      <w:tr>
        <w:tc>
          <w:tcPr>
            <w:tcW w:type="pct" w:w="4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Portfolio Concentration (EUA)</w:t>
            </w:r>
          </w:p>
        </w:tc>
        <w:tc>
          <w:tcPr>
            <w:tcW w:type="pct" w:w="3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60.2%</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Within policy limit (max 70%)</w:t>
            </w:r>
          </w:p>
        </w:tc>
      </w:tr>
      <w:tr>
        <w:tc>
          <w:tcPr>
            <w:tcW w:type="pct" w:w="4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Portfolio Concentration (CEA)</w:t>
            </w:r>
          </w:p>
        </w:tc>
        <w:tc>
          <w:tcPr>
            <w:tcW w:type="pct" w:w="3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28.4%</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Within policy limit (max 40%)</w:t>
            </w:r>
          </w:p>
        </w:tc>
      </w:tr>
      <w:tr>
        <w:tc>
          <w:tcPr>
            <w:tcW w:type="pct" w:w="4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Portfolio Concentration (VCC)</w:t>
            </w:r>
          </w:p>
        </w:tc>
        <w:tc>
          <w:tcPr>
            <w:tcW w:type="pct" w:w="3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11.4%</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Within policy limit (max 25%)</w:t>
            </w:r>
          </w:p>
        </w:tc>
      </w:tr>
      <w:tr>
        <w:tc>
          <w:tcPr>
            <w:tcW w:type="pct" w:w="4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30-Day Portfolio Volatility</w:t>
            </w:r>
          </w:p>
        </w:tc>
        <w:tc>
          <w:tcPr>
            <w:tcW w:type="pct" w:w="3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4.2%</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Low-Moderate</w:t>
            </w:r>
          </w:p>
        </w:tc>
      </w:tr>
      <w:tr>
        <w:tc>
          <w:tcPr>
            <w:tcW w:type="pct" w:w="4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Maximum Drawdown (MTD)</w:t>
            </w:r>
          </w:p>
        </w:tc>
        <w:tc>
          <w:tcPr>
            <w:tcW w:type="pct" w:w="3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-1.8%</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Within tolerance (max -10%)</w:t>
            </w:r>
          </w:p>
        </w:tc>
      </w:tr>
      <w:tr>
        <w:tc>
          <w:tcPr>
            <w:tcW w:type="pct" w:w="4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Counterparty Exposure (NIHA)</w:t>
            </w:r>
          </w:p>
        </w:tc>
        <w:tc>
          <w:tcPr>
            <w:tcW w:type="pct" w:w="3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100%</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Principal model — acknowledged</w:t>
            </w:r>
          </w:p>
        </w:tc>
      </w:tr>
      <w:tr>
        <w:tc>
          <w:tcPr>
            <w:tcW w:type="pct" w:w="4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FX Exposure (EUR/CNY)</w:t>
            </w:r>
          </w:p>
        </w:tc>
        <w:tc>
          <w:tcPr>
            <w:tcW w:type="pct" w:w="30%"/>
            <w:tcBorders>
              <w:top w:val="single" w:color="CCCCCC" w:sz="1"/>
              <w:left w:val="single" w:color="CCCCCC" w:sz="1"/>
              <w:bottom w:val="single" w:color="CCCCCC" w:sz="1"/>
              <w:right w:val="single" w:color="CCCCCC" w:sz="1"/>
            </w:tcBorders>
          </w:tcPr>
          <w:p>
            <w:pPr>
              <w:spacing w:before="40" w:after="40"/>
              <w:jc w:val="right"/>
            </w:pPr>
            <w:r>
              <w:rPr>
                <w:rFonts w:ascii="Times New Roman" w:cs="Times New Roman" w:eastAsia="Times New Roman" w:hAnsi="Times New Roman"/>
                <w:color w:val="333333"/>
                <w:sz w:val="18"/>
                <w:szCs w:val="18"/>
              </w:rPr>
              <w:t xml:space="preserve">€1,150,526 equiv.</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8"/>
                <w:szCs w:val="18"/>
              </w:rPr>
              <w:t xml:space="preserve">Unhedged — client policy</w:t>
            </w:r>
          </w:p>
        </w:tc>
      </w:tr>
    </w:tbl>
    <w:p>
      <w:pPr>
        <w:spacing w:before="0" w:after="200"/>
      </w:pPr>
      <w:r>
        <w:rPr>
          <w:rFonts w:ascii="Times New Roman" w:cs="Times New Roman" w:eastAsia="Times New Roman" w:hAnsi="Times New Roman"/>
          <w:i/>
          <w:iCs/>
          <w:color w:val="666666"/>
          <w:sz w:val="22"/>
          <w:szCs w:val="22"/>
        </w:rPr>
        <w:t xml:space="preserve">Risk metrics are calculated using NIHA's proprietary risk model and are provided for informational purposes only. The Client's risk profile is reviewed quarterly.</w:t>
      </w:r>
    </w:p>
    <w:p>
      <w:pPr>
        <w:pBdr>
          <w:bottom w:val="single" w:color="2E75B6" w:sz="2" w:space="4"/>
        </w:pBdr>
        <w:spacing w:before="400" w:after="200"/>
      </w:pPr>
      <w:r>
        <w:rPr>
          <w:rFonts w:ascii="Times New Roman" w:cs="Times New Roman" w:eastAsia="Times New Roman" w:hAnsi="Times New Roman"/>
          <w:b/>
          <w:bCs/>
          <w:color w:val="1B2A4A"/>
          <w:sz w:val="26"/>
          <w:szCs w:val="26"/>
        </w:rPr>
        <w:t xml:space="preserve">7. IMPORTANT NOTICES</w:t>
      </w:r>
    </w:p>
    <w:p>
      <w:pPr>
        <w:spacing w:before="0" w:after="150"/>
      </w:pPr>
      <w:r>
        <w:rPr>
          <w:rFonts w:ascii="Times New Roman" w:cs="Times New Roman" w:eastAsia="Times New Roman" w:hAnsi="Times New Roman"/>
          <w:color w:val="333333"/>
          <w:sz w:val="22"/>
          <w:szCs w:val="22"/>
        </w:rPr>
        <w:t xml:space="preserve">Accuracy of Information: While NIHA endeavours to ensure the accuracy of this statement, market prices and valuations are indicative and based on closing prices as at the statement date. Actual realisable values may differ.</w:t>
      </w:r>
    </w:p>
    <w:p>
      <w:pPr>
        <w:spacing w:before="0" w:after="150"/>
      </w:pPr>
      <w:r>
        <w:rPr>
          <w:rFonts w:ascii="Times New Roman" w:cs="Times New Roman" w:eastAsia="Times New Roman" w:hAnsi="Times New Roman"/>
          <w:color w:val="333333"/>
          <w:sz w:val="22"/>
          <w:szCs w:val="22"/>
        </w:rPr>
        <w:t xml:space="preserve">Not Investment Advice: This statement is provided for information purposes only and does not constitute investment advice, a recommendation, or an offer to buy or sell any financial instrument. The Client should consult independent professional advisers before making investment decisions.</w:t>
      </w:r>
    </w:p>
    <w:p>
      <w:pPr>
        <w:spacing w:before="0" w:after="150"/>
      </w:pPr>
      <w:r>
        <w:rPr>
          <w:rFonts w:ascii="Times New Roman" w:cs="Times New Roman" w:eastAsia="Times New Roman" w:hAnsi="Times New Roman"/>
          <w:color w:val="333333"/>
          <w:sz w:val="22"/>
          <w:szCs w:val="22"/>
        </w:rPr>
        <w:t xml:space="preserve">Custody: All carbon assets shown are held by NIHA in custody on behalf of the Client under the terms of the Carbon Credit Custody Agreement. The Client retains beneficial ownership at all times. NIHA holds legal title as principal counterparty.</w:t>
      </w:r>
    </w:p>
    <w:p>
      <w:pPr>
        <w:spacing w:before="0" w:after="150"/>
      </w:pPr>
      <w:r>
        <w:rPr>
          <w:rFonts w:ascii="Times New Roman" w:cs="Times New Roman" w:eastAsia="Times New Roman" w:hAnsi="Times New Roman"/>
          <w:color w:val="333333"/>
          <w:sz w:val="22"/>
          <w:szCs w:val="22"/>
        </w:rPr>
        <w:t xml:space="preserve">Discrepancies: If the Client identifies any discrepancy in this statement, they should notify NIHA in writing within 14 business days. If no notice is received, the statement shall be deemed accepted.</w:t>
      </w:r>
    </w:p>
    <w:p>
      <w:pPr>
        <w:spacing w:before="0" w:after="300"/>
      </w:pPr>
      <w:r>
        <w:rPr>
          <w:rFonts w:ascii="Times New Roman" w:cs="Times New Roman" w:eastAsia="Times New Roman" w:hAnsi="Times New Roman"/>
          <w:color w:val="333333"/>
          <w:sz w:val="22"/>
          <w:szCs w:val="22"/>
        </w:rPr>
        <w:t xml:space="preserve">Governing Law: This statement is subject to the laws of Hong Kong Special Administrative Region.</w:t>
      </w:r>
    </w:p>
    <w:p>
      <w:pPr>
        <w:pBdr>
          <w:top w:val="single" w:color="1B2A4A" w:sz="2" w:space="8"/>
        </w:pBdr>
        <w:spacing w:before="300"/>
      </w:pPr>
      <w:r>
        <w:rPr>
          <w:rFonts w:ascii="Times New Roman" w:cs="Times New Roman" w:eastAsia="Times New Roman" w:hAnsi="Times New Roman"/>
          <w:color w:val="666666"/>
          <w:sz w:val="20"/>
          <w:szCs w:val="20"/>
        </w:rPr>
        <w:t xml:space="preserve">Issued by:</w:t>
      </w:r>
    </w:p>
    <w:p>
      <w:pPr>
        <w:spacing w:before="0" w:after="120"/>
      </w:pPr>
      <w:r>
        <w:rPr>
          <w:rFonts w:ascii="Times New Roman" w:cs="Times New Roman" w:eastAsia="Times New Roman" w:hAnsi="Times New Roman"/>
          <w:b/>
          <w:bCs/>
          <w:color w:val="1B2A4A"/>
          <w:sz w:val="22"/>
          <w:szCs w:val="22"/>
        </w:rPr>
        <w:t xml:space="preserve">Italy Nihao Group Limited — Carbon Trading Desk</w:t>
      </w:r>
    </w:p>
    <w:p>
      <w:pPr>
        <w:spacing w:before="0" w:after="120"/>
      </w:pPr>
      <w:r>
        <w:rPr>
          <w:rFonts w:ascii="Times New Roman" w:cs="Times New Roman" w:eastAsia="Times New Roman" w:hAnsi="Times New Roman"/>
          <w:color w:val="666666"/>
          <w:sz w:val="22"/>
          <w:szCs w:val="22"/>
        </w:rPr>
        <w:t xml:space="preserve">Unit 1603, 16/F, The L. Plaza, 367-375 Queen's Road Central, Sheung Wan, Hong Kong</w:t>
      </w:r>
    </w:p>
    <w:p>
      <w:pPr>
        <w:spacing w:before="0" w:after="200"/>
      </w:pPr>
      <w:r>
        <w:rPr>
          <w:rFonts w:ascii="Times New Roman" w:cs="Times New Roman" w:eastAsia="Times New Roman" w:hAnsi="Times New Roman"/>
          <w:color w:val="666666"/>
          <w:sz w:val="22"/>
          <w:szCs w:val="22"/>
        </w:rPr>
        <w:t xml:space="preserve">carbontrade@nihaogroup.hk | +852 2XXX XXXX</w:t>
      </w:r>
    </w:p>
    <w:p>
      <w:pPr>
        <w:spacing w:before="0" w:after="80"/>
      </w:pPr>
      <w:r>
        <w:rPr>
          <w:rFonts w:ascii="Times New Roman" w:cs="Times New Roman" w:eastAsia="Times New Roman" w:hAnsi="Times New Roman"/>
          <w:color w:val="333333"/>
          <w:sz w:val="22"/>
          <w:szCs w:val="22"/>
        </w:rPr>
        <w:t xml:space="preserve">Authorised Signatory: ____________________________</w:t>
      </w:r>
    </w:p>
    <w:p>
      <w:pPr>
        <w:spacing w:before="0" w:after="80"/>
      </w:pPr>
      <w:r>
        <w:rPr>
          <w:rFonts w:ascii="Times New Roman" w:cs="Times New Roman" w:eastAsia="Times New Roman" w:hAnsi="Times New Roman"/>
          <w:color w:val="333333"/>
          <w:sz w:val="22"/>
          <w:szCs w:val="22"/>
        </w:rPr>
        <w:t xml:space="preserve">Name: [Managing Director]</w:t>
      </w:r>
    </w:p>
    <w:p>
      <w:pPr>
        <w:spacing w:before="0" w:after="200"/>
      </w:pPr>
      <w:r>
        <w:rPr>
          <w:rFonts w:ascii="Times New Roman" w:cs="Times New Roman" w:eastAsia="Times New Roman" w:hAnsi="Times New Roman"/>
          <w:color w:val="333333"/>
          <w:sz w:val="22"/>
          <w:szCs w:val="22"/>
        </w:rPr>
        <w:t xml:space="preserve">Date: 3 February 2026</w:t>
      </w:r>
    </w:p>
    <w:sectPr>
      <w:headerReference w:type="default" r:id="rId6"/>
      <w:footerReference w:type="default" r:id="rId7"/>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Times New Roman" w:cs="Times New Roman" w:eastAsia="Times New Roman" w:hAnsi="Times New Roman"/>
        <w:i/>
        <w:iCs/>
        <w:color w:val="666666"/>
        <w:sz w:val="14"/>
        <w:szCs w:val="14"/>
      </w:rPr>
      <w:t xml:space="preserve">NIHA Client Portfolio Statement — For authorised recipients only. Not investment advice.</w:t>
    </w:r>
  </w:p>
  <w:p>
    <w:pP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100"/>
      <w:jc w:val="left"/>
    </w:pPr>
    <w:r>
      <w:rPr>
        <w:rFonts w:ascii="Times New Roman" w:cs="Times New Roman" w:eastAsia="Times New Roman" w:hAnsi="Times New Roman"/>
        <w:b/>
        <w:bCs/>
        <w:color w:val="1B2A4A"/>
        <w:sz w:val="18"/>
        <w:szCs w:val="18"/>
      </w:rPr>
      <w:t xml:space="preserve">ITALY NIHAO GROUP LIMITED</w:t>
    </w:r>
    <w:r>
      <w:rPr>
        <w:rFonts w:ascii="Times New Roman" w:cs="Times New Roman" w:eastAsia="Times New Roman" w:hAnsi="Times New Roman"/>
        <w:color w:val="666666"/>
        <w:sz w:val="16"/>
        <w:szCs w:val="16"/>
      </w:rPr>
      <w:t xml:space="preserve"> | CLIENT PORTFOLIO STATEMENT</w:t>
    </w:r>
    <w:r>
      <w:rPr>
        <w:rFonts w:ascii="Times New Roman" w:cs="Times New Roman" w:eastAsia="Times New Roman" w:hAnsi="Times New Roman"/>
        <w:b/>
        <w:bCs/>
        <w:color w:val="C0392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2026-02-20T12:00:15.166Z</dcterms:created>
  <dcterms:modified xsi:type="dcterms:W3CDTF">2026-02-20T12:00:15.166Z</dcterms:modified>
</cp:coreProperties>
</file>

<file path=docProps/custom.xml><?xml version="1.0" encoding="utf-8"?>
<Properties xmlns="http://schemas.openxmlformats.org/officeDocument/2006/custom-properties" xmlns:vt="http://schemas.openxmlformats.org/officeDocument/2006/docPropsVTypes"/>
</file>